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AEFBF0">
      <w:pPr>
        <w:jc w:val="center"/>
        <w:rPr>
          <w:rFonts w:hint="eastAsia"/>
          <w:sz w:val="33"/>
        </w:rPr>
      </w:pPr>
    </w:p>
    <w:p w14:paraId="4135B92D">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黑体" w:hAnsi="黑体" w:eastAsia="黑体"/>
          <w:sz w:val="32"/>
          <w:szCs w:val="32"/>
        </w:rPr>
      </w:pPr>
      <w:r>
        <w:rPr>
          <w:rFonts w:hint="eastAsia" w:ascii="黑体" w:hAnsi="黑体" w:eastAsia="黑体"/>
          <w:sz w:val="32"/>
          <w:szCs w:val="32"/>
        </w:rPr>
        <w:t>宣化科技职业学院项目管理办法（暂行）</w:t>
      </w:r>
    </w:p>
    <w:p w14:paraId="21AADC15">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 w:val="0"/>
          <w:bCs/>
          <w:sz w:val="32"/>
          <w:szCs w:val="32"/>
        </w:rPr>
      </w:pPr>
    </w:p>
    <w:p w14:paraId="7CB908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为了加强学院项目内部控制、规范项目管理行为、提高项目质量、工作效率及资金使用效益，结合学院实际情况制定本办法。</w:t>
      </w:r>
    </w:p>
    <w:p w14:paraId="53C2EC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一、项目管理基本制度</w:t>
      </w:r>
    </w:p>
    <w:p w14:paraId="147E59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项目管理是把各种系统、方法和人员结合在一起，在规定的时间、预算和质量目标范围内完成项目的各项工作。从项目的投资决策开始到项目结束的全过程进行计划、组织、指挥、协调、控制和评价。</w:t>
      </w:r>
    </w:p>
    <w:p w14:paraId="791F715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val="0"/>
          <w:sz w:val="32"/>
          <w:szCs w:val="32"/>
        </w:rPr>
        <w:t>第一条</w:t>
      </w:r>
      <w:r>
        <w:rPr>
          <w:rFonts w:hint="eastAsia" w:ascii="仿宋_GB2312" w:hAnsi="仿宋_GB2312" w:eastAsia="仿宋_GB2312" w:cs="仿宋_GB2312"/>
          <w:b w:val="0"/>
          <w:bCs/>
          <w:sz w:val="32"/>
          <w:szCs w:val="32"/>
        </w:rPr>
        <w:t xml:space="preserve">  学院项目管理应遵循如下原则</w:t>
      </w:r>
    </w:p>
    <w:p w14:paraId="7F7D22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（一）及时、实事求是、审批程序简单、有效。</w:t>
      </w:r>
    </w:p>
    <w:p w14:paraId="621477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（二）实施监督与决策控制相结合。</w:t>
      </w:r>
    </w:p>
    <w:p w14:paraId="744876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（三）不相容岗位相互分离、制约。</w:t>
      </w:r>
    </w:p>
    <w:p w14:paraId="33DA36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（四）分工明确。</w:t>
      </w:r>
    </w:p>
    <w:p w14:paraId="7659032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val="0"/>
          <w:sz w:val="32"/>
          <w:szCs w:val="32"/>
        </w:rPr>
        <w:t xml:space="preserve">第二条 </w:t>
      </w:r>
      <w:r>
        <w:rPr>
          <w:rFonts w:hint="eastAsia" w:ascii="仿宋_GB2312" w:hAnsi="仿宋_GB2312" w:eastAsia="仿宋_GB2312" w:cs="仿宋_GB2312"/>
          <w:b w:val="0"/>
          <w:bCs/>
          <w:sz w:val="32"/>
          <w:szCs w:val="32"/>
        </w:rPr>
        <w:t xml:space="preserve"> 项目管理流程图</w:t>
      </w:r>
    </w:p>
    <w:p w14:paraId="1A1EFBDB">
      <w:pPr>
        <w:ind w:firstLine="640" w:firstLineChars="200"/>
        <w:rPr>
          <w:rFonts w:ascii="仿宋" w:hAnsi="仿宋" w:eastAsia="仿宋"/>
          <w:sz w:val="32"/>
          <w:szCs w:val="32"/>
        </w:rPr>
      </w:pPr>
      <w:r>
        <w:rPr>
          <w:rFonts w:ascii="仿宋" w:hAnsi="仿宋" w:eastAsia="仿宋"/>
          <w:sz w:val="32"/>
          <w:szCs w:val="32"/>
        </w:rPr>
        <mc:AlternateContent>
          <mc:Choice Requires="wps">
            <w:drawing>
              <wp:anchor distT="0" distB="0" distL="114300" distR="114300" simplePos="0" relativeHeight="251664384" behindDoc="0" locked="0" layoutInCell="1" allowOverlap="1">
                <wp:simplePos x="0" y="0"/>
                <wp:positionH relativeFrom="column">
                  <wp:posOffset>2114550</wp:posOffset>
                </wp:positionH>
                <wp:positionV relativeFrom="paragraph">
                  <wp:posOffset>57785</wp:posOffset>
                </wp:positionV>
                <wp:extent cx="1537970" cy="414020"/>
                <wp:effectExtent l="6350" t="6350" r="17780" b="17780"/>
                <wp:wrapNone/>
                <wp:docPr id="1" name="矩形 1"/>
                <wp:cNvGraphicFramePr/>
                <a:graphic xmlns:a="http://schemas.openxmlformats.org/drawingml/2006/main">
                  <a:graphicData uri="http://schemas.microsoft.com/office/word/2010/wordprocessingShape">
                    <wps:wsp>
                      <wps:cNvSpPr/>
                      <wps:spPr>
                        <a:xfrm>
                          <a:off x="1289685" y="1096645"/>
                          <a:ext cx="1562100" cy="457200"/>
                        </a:xfrm>
                        <a:prstGeom prst="rect">
                          <a:avLst/>
                        </a:prstGeom>
                        <a:solidFill>
                          <a:srgbClr val="FFFFFF"/>
                        </a:solidFill>
                        <a:ln w="12700" cap="flat" cmpd="sng" algn="ctr">
                          <a:solidFill>
                            <a:srgbClr val="000000"/>
                          </a:solidFill>
                          <a:prstDash val="solid"/>
                          <a:miter lim="800000"/>
                        </a:ln>
                        <a:effectLst/>
                      </wps:spPr>
                      <wps:txbx>
                        <w:txbxContent>
                          <w:p w14:paraId="09B9EE74">
                            <w:r>
                              <w:rPr>
                                <w:rFonts w:hint="eastAsia"/>
                              </w:rPr>
                              <w:t>项目申请（使用部门）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6.5pt;margin-top:4.55pt;height:32.6pt;width:121.1pt;z-index:251664384;v-text-anchor:middle;mso-width-relative:page;mso-height-relative:page;" fillcolor="#FFFFFF" filled="t" stroked="t" coordsize="21600,21600" o:gfxdata="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ADiMDU1wAAAAgBAAAPAAAAAAAAAAEA&#10;IAAAACIAAABkcnMvZG93bnJldi54bWxQSwECFAAUAAAACACHTuJAhjbtmIICAAAZBQAADgAAAAAA&#10;AAABACAAAAAmAQAAZHJzL2Uyb0RvYy54bWxQSwUGAAAAAAYABgBZAQAAGgYAAAAA&#10;">
                <v:fill on="t" focussize="0,0"/>
                <v:stroke weight="1pt" color="#000000" miterlimit="8" joinstyle="miter"/>
                <v:imagedata o:title=""/>
                <o:lock v:ext="edit" aspectratio="f"/>
                <v:textbox>
                  <w:txbxContent>
                    <w:p w14:paraId="09B9EE74">
                      <w:r>
                        <w:rPr>
                          <w:rFonts w:hint="eastAsia"/>
                        </w:rPr>
                        <w:t>项目申请（使用部门）</w:t>
                      </w:r>
                    </w:p>
                  </w:txbxContent>
                </v:textbox>
              </v:rect>
            </w:pict>
          </mc:Fallback>
        </mc:AlternateContent>
      </w:r>
    </w:p>
    <w:p w14:paraId="3CF9B6FB">
      <w:pPr>
        <w:ind w:firstLine="640" w:firstLineChars="200"/>
        <w:rPr>
          <w:rFonts w:ascii="仿宋" w:hAnsi="仿宋" w:eastAsia="仿宋"/>
          <w:sz w:val="32"/>
          <w:szCs w:val="32"/>
        </w:rPr>
      </w:pPr>
      <w:r>
        <w:rPr>
          <w:rFonts w:ascii="仿宋" w:hAnsi="仿宋" w:eastAsia="仿宋"/>
          <w:sz w:val="32"/>
          <w:szCs w:val="32"/>
        </w:rPr>
        <mc:AlternateContent>
          <mc:Choice Requires="wps">
            <w:drawing>
              <wp:anchor distT="0" distB="0" distL="114300" distR="114300" simplePos="0" relativeHeight="251667456" behindDoc="0" locked="0" layoutInCell="1" allowOverlap="1">
                <wp:simplePos x="0" y="0"/>
                <wp:positionH relativeFrom="column">
                  <wp:posOffset>4189730</wp:posOffset>
                </wp:positionH>
                <wp:positionV relativeFrom="paragraph">
                  <wp:posOffset>290195</wp:posOffset>
                </wp:positionV>
                <wp:extent cx="1386840" cy="466725"/>
                <wp:effectExtent l="6350" t="6350" r="16510" b="22225"/>
                <wp:wrapNone/>
                <wp:docPr id="4" name="矩形 4"/>
                <wp:cNvGraphicFramePr/>
                <a:graphic xmlns:a="http://schemas.openxmlformats.org/drawingml/2006/main">
                  <a:graphicData uri="http://schemas.microsoft.com/office/word/2010/wordprocessingShape">
                    <wps:wsp>
                      <wps:cNvSpPr/>
                      <wps:spPr>
                        <a:xfrm>
                          <a:off x="0" y="0"/>
                          <a:ext cx="1447800" cy="685800"/>
                        </a:xfrm>
                        <a:prstGeom prst="rect">
                          <a:avLst/>
                        </a:prstGeom>
                        <a:solidFill>
                          <a:srgbClr val="FFFFFF"/>
                        </a:solidFill>
                        <a:ln w="12700" cap="flat" cmpd="sng" algn="ctr">
                          <a:solidFill>
                            <a:srgbClr val="000000"/>
                          </a:solidFill>
                          <a:prstDash val="solid"/>
                          <a:miter lim="800000"/>
                        </a:ln>
                        <a:effectLst/>
                      </wps:spPr>
                      <wps:txbx>
                        <w:txbxContent>
                          <w:p w14:paraId="5FB516DA">
                            <w:pPr>
                              <w:jc w:val="center"/>
                              <w:rPr>
                                <w:rFonts w:hint="default" w:eastAsiaTheme="minorEastAsia"/>
                                <w:lang w:val="en-US" w:eastAsia="zh-CN"/>
                              </w:rPr>
                            </w:pPr>
                            <w:r>
                              <w:rPr>
                                <w:rFonts w:hint="eastAsia"/>
                                <w:sz w:val="18"/>
                                <w:szCs w:val="18"/>
                              </w:rPr>
                              <w:t>使用部门、纪检、国资中心、财务监督</w:t>
                            </w:r>
                            <w:r>
                              <w:rPr>
                                <w:rFonts w:hint="eastAsia"/>
                                <w:sz w:val="18"/>
                                <w:szCs w:val="18"/>
                                <w:lang w:eastAsia="zh-CN"/>
                              </w:rPr>
                              <w:t>、</w:t>
                            </w:r>
                            <w:r>
                              <w:rPr>
                                <w:rFonts w:hint="eastAsia"/>
                                <w:lang w:val="en-US" w:eastAsia="zh-CN"/>
                              </w:rPr>
                              <w:t>论证</w:t>
                            </w:r>
                          </w:p>
                          <w:p w14:paraId="4A7358E7">
                            <w:pPr>
                              <w:jc w:val="center"/>
                            </w:pPr>
                            <w:r>
                              <w:rPr>
                                <w:rFonts w:hint="eastAsia"/>
                              </w:rPr>
                              <w:t>国资中心按程序</w:t>
                            </w:r>
                          </w:p>
                          <w:p w14:paraId="35D7CB00">
                            <w:pPr>
                              <w:jc w:val="center"/>
                            </w:pPr>
                            <w:r>
                              <w:rPr>
                                <w:rFonts w:hint="eastAsia"/>
                              </w:rPr>
                              <w:t>办理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9.9pt;margin-top:22.85pt;height:36.75pt;width:109.2pt;z-index:251667456;v-text-anchor:middle;mso-width-relative:page;mso-height-relative:page;" fillcolor="#FFFFFF" filled="t" stroked="t" coordsize="21600,21600" o:gfxdata="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7dWjGtgAAAAKAQAADwAAAAAAAAABACAAAAAiAAAA&#10;ZHJzL2Rvd25yZXYueG1sUEsBAhQAFAAAAAgAh07iQHVxw7x5AgAADQUAAA4AAAAAAAAAAQAgAAAA&#10;JwEAAGRycy9lMm9Eb2MueG1sUEsFBgAAAAAGAAYAWQEAABIGAAAAAA==&#10;">
                <v:fill on="t" focussize="0,0"/>
                <v:stroke weight="1pt" color="#000000" miterlimit="8" joinstyle="miter"/>
                <v:imagedata o:title=""/>
                <o:lock v:ext="edit" aspectratio="f"/>
                <v:textbox>
                  <w:txbxContent>
                    <w:p w14:paraId="5FB516DA">
                      <w:pPr>
                        <w:jc w:val="center"/>
                        <w:rPr>
                          <w:rFonts w:hint="default" w:eastAsiaTheme="minorEastAsia"/>
                          <w:lang w:val="en-US" w:eastAsia="zh-CN"/>
                        </w:rPr>
                      </w:pPr>
                      <w:r>
                        <w:rPr>
                          <w:rFonts w:hint="eastAsia"/>
                          <w:sz w:val="18"/>
                          <w:szCs w:val="18"/>
                        </w:rPr>
                        <w:t>使用部门、纪检、国资中心、财务监督</w:t>
                      </w:r>
                      <w:r>
                        <w:rPr>
                          <w:rFonts w:hint="eastAsia"/>
                          <w:sz w:val="18"/>
                          <w:szCs w:val="18"/>
                          <w:lang w:eastAsia="zh-CN"/>
                        </w:rPr>
                        <w:t>、</w:t>
                      </w:r>
                      <w:r>
                        <w:rPr>
                          <w:rFonts w:hint="eastAsia"/>
                          <w:lang w:val="en-US" w:eastAsia="zh-CN"/>
                        </w:rPr>
                        <w:t>论证</w:t>
                      </w:r>
                    </w:p>
                    <w:p w14:paraId="4A7358E7">
                      <w:pPr>
                        <w:jc w:val="center"/>
                      </w:pPr>
                      <w:r>
                        <w:rPr>
                          <w:rFonts w:hint="eastAsia"/>
                        </w:rPr>
                        <w:t>国资中心按程序</w:t>
                      </w:r>
                    </w:p>
                    <w:p w14:paraId="35D7CB00">
                      <w:pPr>
                        <w:jc w:val="center"/>
                      </w:pPr>
                      <w:r>
                        <w:rPr>
                          <w:rFonts w:hint="eastAsia"/>
                        </w:rPr>
                        <w:t>办理</w:t>
                      </w:r>
                    </w:p>
                  </w:txbxContent>
                </v:textbox>
              </v:rect>
            </w:pict>
          </mc:Fallback>
        </mc:AlternateContent>
      </w:r>
      <w:r>
        <w:rPr>
          <w:rFonts w:ascii="仿宋" w:hAnsi="仿宋" w:eastAsia="仿宋"/>
          <w:sz w:val="32"/>
          <w:szCs w:val="32"/>
        </w:rPr>
        <mc:AlternateContent>
          <mc:Choice Requires="wps">
            <w:drawing>
              <wp:anchor distT="0" distB="0" distL="114300" distR="114300" simplePos="0" relativeHeight="251666432" behindDoc="0" locked="0" layoutInCell="1" allowOverlap="1">
                <wp:simplePos x="0" y="0"/>
                <wp:positionH relativeFrom="column">
                  <wp:posOffset>2114550</wp:posOffset>
                </wp:positionH>
                <wp:positionV relativeFrom="paragraph">
                  <wp:posOffset>290195</wp:posOffset>
                </wp:positionV>
                <wp:extent cx="1537970" cy="466725"/>
                <wp:effectExtent l="6350" t="6350" r="17780" b="22225"/>
                <wp:wrapNone/>
                <wp:docPr id="7" name="矩形 7"/>
                <wp:cNvGraphicFramePr/>
                <a:graphic xmlns:a="http://schemas.openxmlformats.org/drawingml/2006/main">
                  <a:graphicData uri="http://schemas.microsoft.com/office/word/2010/wordprocessingShape">
                    <wps:wsp>
                      <wps:cNvSpPr/>
                      <wps:spPr>
                        <a:xfrm>
                          <a:off x="0" y="0"/>
                          <a:ext cx="1447800" cy="685800"/>
                        </a:xfrm>
                        <a:prstGeom prst="rect">
                          <a:avLst/>
                        </a:prstGeom>
                        <a:solidFill>
                          <a:srgbClr val="FFFFFF"/>
                        </a:solidFill>
                        <a:ln w="12700" cap="flat" cmpd="sng" algn="ctr">
                          <a:solidFill>
                            <a:srgbClr val="000000"/>
                          </a:solidFill>
                          <a:prstDash val="solid"/>
                          <a:miter lim="800000"/>
                        </a:ln>
                        <a:effectLst/>
                      </wps:spPr>
                      <wps:txbx>
                        <w:txbxContent>
                          <w:p w14:paraId="47EC34DB">
                            <w:pPr>
                              <w:jc w:val="center"/>
                            </w:pPr>
                            <w:r>
                              <w:rPr>
                                <w:rFonts w:hint="eastAsia"/>
                                <w:sz w:val="18"/>
                                <w:szCs w:val="18"/>
                                <w:lang w:val="en-US" w:eastAsia="zh-CN"/>
                              </w:rPr>
                              <w:t>项目论证、</w:t>
                            </w:r>
                            <w:r>
                              <w:rPr>
                                <w:rFonts w:hint="eastAsia"/>
                                <w:sz w:val="18"/>
                                <w:szCs w:val="18"/>
                              </w:rPr>
                              <w:t>项目研究与决策（党委会、院长办</w:t>
                            </w:r>
                            <w:r>
                              <w:rPr>
                                <w:rFonts w:hint="eastAsia"/>
                              </w:rPr>
                              <w:t>公会）</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6.5pt;margin-top:22.85pt;height:36.75pt;width:121.1pt;z-index:251666432;v-text-anchor:middle;mso-width-relative:page;mso-height-relative:page;" fillcolor="#FFFFFF" filled="t" stroked="t" coordsize="21600,21600" o:gfxdata="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j3KbDtgAAAAKAQAADwAAAAAAAAABACAAAAAiAAAA&#10;ZHJzL2Rvd25yZXYueG1sUEsBAhQAFAAAAAgAh07iQFb/YR15AgAADQUAAA4AAAAAAAAAAQAgAAAA&#10;JwEAAGRycy9lMm9Eb2MueG1sUEsFBgAAAAAGAAYAWQEAABIGAAAAAA==&#10;">
                <v:fill on="t" focussize="0,0"/>
                <v:stroke weight="1pt" color="#000000" miterlimit="8" joinstyle="miter"/>
                <v:imagedata o:title=""/>
                <o:lock v:ext="edit" aspectratio="f"/>
                <v:textbox>
                  <w:txbxContent>
                    <w:p w14:paraId="47EC34DB">
                      <w:pPr>
                        <w:jc w:val="center"/>
                      </w:pPr>
                      <w:r>
                        <w:rPr>
                          <w:rFonts w:hint="eastAsia"/>
                          <w:sz w:val="18"/>
                          <w:szCs w:val="18"/>
                          <w:lang w:val="en-US" w:eastAsia="zh-CN"/>
                        </w:rPr>
                        <w:t>项目论证、</w:t>
                      </w:r>
                      <w:r>
                        <w:rPr>
                          <w:rFonts w:hint="eastAsia"/>
                          <w:sz w:val="18"/>
                          <w:szCs w:val="18"/>
                        </w:rPr>
                        <w:t>项目研究与决策（党委会、院长办</w:t>
                      </w:r>
                      <w:r>
                        <w:rPr>
                          <w:rFonts w:hint="eastAsia"/>
                        </w:rPr>
                        <w:t>公会）</w:t>
                      </w:r>
                    </w:p>
                  </w:txbxContent>
                </v:textbox>
              </v:rect>
            </w:pict>
          </mc:Fallback>
        </mc:AlternateContent>
      </w:r>
      <w:r>
        <w:rPr>
          <w:rFonts w:ascii="仿宋" w:hAnsi="仿宋" w:eastAsia="仿宋"/>
          <w:sz w:val="32"/>
          <w:szCs w:val="32"/>
        </w:rPr>
        <mc:AlternateContent>
          <mc:Choice Requires="wps">
            <w:drawing>
              <wp:anchor distT="0" distB="0" distL="114300" distR="114300" simplePos="0" relativeHeight="251673600" behindDoc="0" locked="0" layoutInCell="1" allowOverlap="1">
                <wp:simplePos x="0" y="0"/>
                <wp:positionH relativeFrom="column">
                  <wp:posOffset>2764790</wp:posOffset>
                </wp:positionH>
                <wp:positionV relativeFrom="paragraph">
                  <wp:posOffset>75565</wp:posOffset>
                </wp:positionV>
                <wp:extent cx="134620" cy="222250"/>
                <wp:effectExtent l="13335" t="4445" r="23495" b="20955"/>
                <wp:wrapNone/>
                <wp:docPr id="2" name="下箭头 2"/>
                <wp:cNvGraphicFramePr/>
                <a:graphic xmlns:a="http://schemas.openxmlformats.org/drawingml/2006/main">
                  <a:graphicData uri="http://schemas.microsoft.com/office/word/2010/wordprocessingShape">
                    <wps:wsp>
                      <wps:cNvSpPr/>
                      <wps:spPr>
                        <a:xfrm>
                          <a:off x="0" y="0"/>
                          <a:ext cx="134620" cy="222250"/>
                        </a:xfrm>
                        <a:prstGeom prst="downArrow">
                          <a:avLst>
                            <a:gd name="adj1" fmla="val 50000"/>
                            <a:gd name="adj2" fmla="val 41273"/>
                          </a:avLst>
                        </a:prstGeom>
                        <a:solidFill>
                          <a:srgbClr val="FFFFFF"/>
                        </a:solidFill>
                        <a:ln w="9525" cap="flat" cmpd="sng">
                          <a:solidFill>
                            <a:srgbClr val="000000"/>
                          </a:solidFill>
                          <a:prstDash val="solid"/>
                          <a:miter/>
                          <a:headEnd type="none" w="med" len="med"/>
                          <a:tailEnd type="none" w="med" len="med"/>
                        </a:ln>
                      </wps:spPr>
                      <wps:bodyPr vert="eaVert" upright="1"/>
                    </wps:wsp>
                  </a:graphicData>
                </a:graphic>
              </wp:anchor>
            </w:drawing>
          </mc:Choice>
          <mc:Fallback>
            <w:pict>
              <v:shape id="_x0000_s1026" o:spid="_x0000_s1026" o:spt="67" type="#_x0000_t67" style="position:absolute;left:0pt;margin-left:217.7pt;margin-top:5.95pt;height:17.5pt;width:10.6pt;z-index:251673600;mso-width-relative:page;mso-height-relative:page;" fillcolor="#FFFFFF" filled="t" stroked="t" coordsize="21600,21600" o:gfxdata="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rLy/f9cAAAAJAQAADwAAAAAAAAABACAAAAAiAAAAZHJzL2Rvd25yZXYueG1sUEsB&#10;AhQAFAAAAAgAh07iQLaOg0IvAgAAhAQAAA4AAAAAAAAAAQAgAAAAJgEAAGRycy9lMm9Eb2MueG1s&#10;UEsFBgAAAAAGAAYAWQEAAMcFAAAAAA==&#10;" adj="16201,5400">
                <v:fill on="t" focussize="0,0"/>
                <v:stroke color="#000000" joinstyle="miter"/>
                <v:imagedata o:title=""/>
                <o:lock v:ext="edit" aspectratio="f"/>
                <v:textbox style="layout-flow:vertical-ideographic;"/>
              </v:shape>
            </w:pict>
          </mc:Fallback>
        </mc:AlternateContent>
      </w:r>
      <w:r>
        <w:rPr>
          <w:rFonts w:ascii="仿宋" w:hAnsi="仿宋" w:eastAsia="仿宋"/>
          <w:sz w:val="32"/>
          <w:szCs w:val="32"/>
        </w:rPr>
        <mc:AlternateContent>
          <mc:Choice Requires="wps">
            <w:drawing>
              <wp:anchor distT="0" distB="0" distL="114300" distR="114300" simplePos="0" relativeHeight="251665408" behindDoc="0" locked="0" layoutInCell="1" allowOverlap="1">
                <wp:simplePos x="0" y="0"/>
                <wp:positionH relativeFrom="column">
                  <wp:posOffset>163830</wp:posOffset>
                </wp:positionH>
                <wp:positionV relativeFrom="paragraph">
                  <wp:posOffset>300355</wp:posOffset>
                </wp:positionV>
                <wp:extent cx="1355090" cy="474345"/>
                <wp:effectExtent l="6350" t="6350" r="10160" b="14605"/>
                <wp:wrapNone/>
                <wp:docPr id="5" name="矩形 5"/>
                <wp:cNvGraphicFramePr/>
                <a:graphic xmlns:a="http://schemas.openxmlformats.org/drawingml/2006/main">
                  <a:graphicData uri="http://schemas.microsoft.com/office/word/2010/wordprocessingShape">
                    <wps:wsp>
                      <wps:cNvSpPr/>
                      <wps:spPr>
                        <a:xfrm>
                          <a:off x="1137285" y="2068195"/>
                          <a:ext cx="1447800" cy="685800"/>
                        </a:xfrm>
                        <a:prstGeom prst="rect">
                          <a:avLst/>
                        </a:prstGeom>
                        <a:solidFill>
                          <a:srgbClr val="FFFFFF"/>
                        </a:solidFill>
                        <a:ln w="12700" cap="flat" cmpd="sng" algn="ctr">
                          <a:solidFill>
                            <a:srgbClr val="000000"/>
                          </a:solidFill>
                          <a:prstDash val="solid"/>
                          <a:miter lim="800000"/>
                        </a:ln>
                        <a:effectLst/>
                      </wps:spPr>
                      <wps:txbx>
                        <w:txbxContent>
                          <w:p w14:paraId="5BE9F52F">
                            <w:pPr>
                              <w:jc w:val="center"/>
                            </w:pPr>
                            <w:r>
                              <w:rPr>
                                <w:rFonts w:hint="eastAsia"/>
                              </w:rPr>
                              <w:t>报上级部门审核、</w:t>
                            </w:r>
                          </w:p>
                          <w:p w14:paraId="3A92296C">
                            <w:pPr>
                              <w:jc w:val="center"/>
                              <w:rPr>
                                <w:rFonts w:hint="default" w:eastAsiaTheme="minorEastAsia"/>
                                <w:lang w:val="en-US" w:eastAsia="zh-CN"/>
                              </w:rPr>
                            </w:pPr>
                            <w:r>
                              <w:rPr>
                                <w:rFonts w:hint="eastAsia"/>
                              </w:rPr>
                              <w:t>立项</w:t>
                            </w:r>
                            <w:r>
                              <w:rPr>
                                <w:rFonts w:hint="eastAsia"/>
                                <w:lang w:eastAsia="zh-CN"/>
                              </w:rPr>
                              <w:t>、</w:t>
                            </w:r>
                            <w:r>
                              <w:rPr>
                                <w:rFonts w:hint="eastAsia"/>
                                <w:lang w:val="en-US" w:eastAsia="zh-CN"/>
                              </w:rPr>
                              <w:t>评审</w:t>
                            </w:r>
                          </w:p>
                          <w:p w14:paraId="613934AB"/>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9pt;margin-top:23.65pt;height:37.35pt;width:106.7pt;z-index:251665408;v-text-anchor:middle;mso-width-relative:page;mso-height-relative:page;" fillcolor="#FFFFFF" filled="t" stroked="t" coordsize="21600,21600" o:gfxdata="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iNBgytYAAAAJAQAADwAAAAAA&#10;AAABACAAAAAiAAAAZHJzL2Rvd25yZXYueG1sUEsBAhQAFAAAAAgAh07iQJVvHDuHAgAAGQUAAA4A&#10;AAAAAAAAAQAgAAAAJQEAAGRycy9lMm9Eb2MueG1sUEsFBgAAAAAGAAYAWQEAAB4GAAAAAA==&#10;">
                <v:fill on="t" focussize="0,0"/>
                <v:stroke weight="1pt" color="#000000" miterlimit="8" joinstyle="miter"/>
                <v:imagedata o:title=""/>
                <o:lock v:ext="edit" aspectratio="f"/>
                <v:textbox>
                  <w:txbxContent>
                    <w:p w14:paraId="5BE9F52F">
                      <w:pPr>
                        <w:jc w:val="center"/>
                      </w:pPr>
                      <w:r>
                        <w:rPr>
                          <w:rFonts w:hint="eastAsia"/>
                        </w:rPr>
                        <w:t>报上级部门审核、</w:t>
                      </w:r>
                    </w:p>
                    <w:p w14:paraId="3A92296C">
                      <w:pPr>
                        <w:jc w:val="center"/>
                        <w:rPr>
                          <w:rFonts w:hint="default" w:eastAsiaTheme="minorEastAsia"/>
                          <w:lang w:val="en-US" w:eastAsia="zh-CN"/>
                        </w:rPr>
                      </w:pPr>
                      <w:r>
                        <w:rPr>
                          <w:rFonts w:hint="eastAsia"/>
                        </w:rPr>
                        <w:t>立项</w:t>
                      </w:r>
                      <w:r>
                        <w:rPr>
                          <w:rFonts w:hint="eastAsia"/>
                          <w:lang w:eastAsia="zh-CN"/>
                        </w:rPr>
                        <w:t>、</w:t>
                      </w:r>
                      <w:r>
                        <w:rPr>
                          <w:rFonts w:hint="eastAsia"/>
                          <w:lang w:val="en-US" w:eastAsia="zh-CN"/>
                        </w:rPr>
                        <w:t>评审</w:t>
                      </w:r>
                    </w:p>
                    <w:p w14:paraId="613934AB"/>
                  </w:txbxContent>
                </v:textbox>
              </v:rect>
            </w:pict>
          </mc:Fallback>
        </mc:AlternateContent>
      </w:r>
    </w:p>
    <w:p w14:paraId="5227C551">
      <w:pPr>
        <w:ind w:firstLine="640" w:firstLineChars="200"/>
        <w:rPr>
          <w:rFonts w:ascii="仿宋" w:hAnsi="仿宋" w:eastAsia="仿宋"/>
          <w:sz w:val="32"/>
          <w:szCs w:val="32"/>
        </w:rPr>
      </w:pPr>
      <w:r>
        <w:rPr>
          <w:sz w:val="32"/>
        </w:rPr>
        <mc:AlternateContent>
          <mc:Choice Requires="wps">
            <w:drawing>
              <wp:anchor distT="0" distB="0" distL="114300" distR="114300" simplePos="0" relativeHeight="251676672" behindDoc="0" locked="0" layoutInCell="1" allowOverlap="1">
                <wp:simplePos x="0" y="0"/>
                <wp:positionH relativeFrom="column">
                  <wp:posOffset>3702685</wp:posOffset>
                </wp:positionH>
                <wp:positionV relativeFrom="paragraph">
                  <wp:posOffset>57150</wp:posOffset>
                </wp:positionV>
                <wp:extent cx="443865" cy="146685"/>
                <wp:effectExtent l="7620" t="10160" r="24765" b="14605"/>
                <wp:wrapNone/>
                <wp:docPr id="8" name="左右箭头 8"/>
                <wp:cNvGraphicFramePr/>
                <a:graphic xmlns:a="http://schemas.openxmlformats.org/drawingml/2006/main">
                  <a:graphicData uri="http://schemas.microsoft.com/office/word/2010/wordprocessingShape">
                    <wps:wsp>
                      <wps:cNvSpPr/>
                      <wps:spPr>
                        <a:xfrm>
                          <a:off x="0" y="0"/>
                          <a:ext cx="443865" cy="146685"/>
                        </a:xfrm>
                        <a:prstGeom prst="leftRightArrow">
                          <a:avLst>
                            <a:gd name="adj1" fmla="val 50000"/>
                            <a:gd name="adj2" fmla="val 60519"/>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9" type="#_x0000_t69" style="position:absolute;left:0pt;margin-left:291.55pt;margin-top:4.5pt;height:11.55pt;width:34.95pt;z-index:251676672;mso-width-relative:page;mso-height-relative:page;" fillcolor="#FFFFFF" filled="t" stroked="t" coordsize="21600,21600" o:gfxdata="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UCEpV2QAAAAgBAAAPAAAAAAAAAAEAIAAAACIAAABkcnMvZG93bnJldi54bWxQSwEC&#10;FAAUAAAACACHTuJAg6SkdiwCAAB+BAAADgAAAAAAAAABACAAAAAoAQAAZHJzL2Uyb0RvYy54bWxQ&#10;SwUGAAAAAAYABgBZAQAAxgUAAAAA&#10;" adj="4319,5400">
                <v:fill on="t" focussize="0,0"/>
                <v:stroke color="#000000" joinstyle="miter"/>
                <v:imagedata o:title=""/>
                <o:lock v:ext="edit" aspectratio="f"/>
              </v:shape>
            </w:pict>
          </mc:Fallback>
        </mc:AlternateContent>
      </w:r>
      <w:r>
        <w:rPr>
          <w:rFonts w:ascii="仿宋" w:hAnsi="仿宋" w:eastAsia="仿宋"/>
          <w:sz w:val="32"/>
          <w:szCs w:val="32"/>
        </w:rPr>
        <mc:AlternateContent>
          <mc:Choice Requires="wps">
            <w:drawing>
              <wp:anchor distT="0" distB="0" distL="114300" distR="114300" simplePos="0" relativeHeight="251660288" behindDoc="0" locked="0" layoutInCell="1" allowOverlap="1">
                <wp:simplePos x="0" y="0"/>
                <wp:positionH relativeFrom="column">
                  <wp:posOffset>2764790</wp:posOffset>
                </wp:positionH>
                <wp:positionV relativeFrom="paragraph">
                  <wp:posOffset>361315</wp:posOffset>
                </wp:positionV>
                <wp:extent cx="134620" cy="222250"/>
                <wp:effectExtent l="13335" t="4445" r="23495" b="20955"/>
                <wp:wrapNone/>
                <wp:docPr id="9" name="下箭头 9"/>
                <wp:cNvGraphicFramePr/>
                <a:graphic xmlns:a="http://schemas.openxmlformats.org/drawingml/2006/main">
                  <a:graphicData uri="http://schemas.microsoft.com/office/word/2010/wordprocessingShape">
                    <wps:wsp>
                      <wps:cNvSpPr/>
                      <wps:spPr>
                        <a:xfrm>
                          <a:off x="0" y="0"/>
                          <a:ext cx="134620" cy="222250"/>
                        </a:xfrm>
                        <a:prstGeom prst="downArrow">
                          <a:avLst>
                            <a:gd name="adj1" fmla="val 50000"/>
                            <a:gd name="adj2" fmla="val 41273"/>
                          </a:avLst>
                        </a:prstGeom>
                        <a:solidFill>
                          <a:srgbClr val="FFFFFF"/>
                        </a:solidFill>
                        <a:ln w="9525" cap="flat" cmpd="sng">
                          <a:solidFill>
                            <a:srgbClr val="000000"/>
                          </a:solidFill>
                          <a:prstDash val="solid"/>
                          <a:miter/>
                          <a:headEnd type="none" w="med" len="med"/>
                          <a:tailEnd type="none" w="med" len="med"/>
                        </a:ln>
                      </wps:spPr>
                      <wps:bodyPr vert="eaVert" upright="1"/>
                    </wps:wsp>
                  </a:graphicData>
                </a:graphic>
              </wp:anchor>
            </w:drawing>
          </mc:Choice>
          <mc:Fallback>
            <w:pict>
              <v:shape id="_x0000_s1026" o:spid="_x0000_s1026" o:spt="67" type="#_x0000_t67" style="position:absolute;left:0pt;margin-left:217.7pt;margin-top:28.45pt;height:17.5pt;width:10.6pt;z-index:251660288;mso-width-relative:page;mso-height-relative:page;" fillcolor="#FFFFFF" filled="t" stroked="t" coordsize="21600,21600" o:gfxdata="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PgAqFnYAAAACQEAAA8AAAAAAAAAAQAgAAAAIgAAAGRycy9kb3ducmV2LnhtbFBL&#10;AQIUABQAAAAIAIdO4kCTCPqxLwIAAIQEAAAOAAAAAAAAAAEAIAAAACcBAABkcnMvZTJvRG9jLnht&#10;bFBLBQYAAAAABgAGAFkBAADIBQAAAAA=&#10;" adj="16201,5400">
                <v:fill on="t" focussize="0,0"/>
                <v:stroke color="#000000" joinstyle="miter"/>
                <v:imagedata o:title=""/>
                <o:lock v:ext="edit" aspectratio="f"/>
                <v:textbox style="layout-flow:vertical-ideographic;"/>
              </v:shape>
            </w:pict>
          </mc:Fallback>
        </mc:AlternateContent>
      </w:r>
      <w:r>
        <w:rPr>
          <w:rFonts w:ascii="仿宋" w:hAnsi="仿宋" w:eastAsia="仿宋"/>
          <w:sz w:val="32"/>
          <w:szCs w:val="32"/>
        </w:rPr>
        <mc:AlternateContent>
          <mc:Choice Requires="wps">
            <w:drawing>
              <wp:anchor distT="0" distB="0" distL="114300" distR="114300" simplePos="0" relativeHeight="251675648" behindDoc="0" locked="0" layoutInCell="1" allowOverlap="1">
                <wp:simplePos x="0" y="0"/>
                <wp:positionH relativeFrom="column">
                  <wp:posOffset>2764790</wp:posOffset>
                </wp:positionH>
                <wp:positionV relativeFrom="paragraph">
                  <wp:posOffset>1748155</wp:posOffset>
                </wp:positionV>
                <wp:extent cx="134620" cy="222250"/>
                <wp:effectExtent l="13335" t="4445" r="23495" b="20955"/>
                <wp:wrapNone/>
                <wp:docPr id="6" name="下箭头 6"/>
                <wp:cNvGraphicFramePr/>
                <a:graphic xmlns:a="http://schemas.openxmlformats.org/drawingml/2006/main">
                  <a:graphicData uri="http://schemas.microsoft.com/office/word/2010/wordprocessingShape">
                    <wps:wsp>
                      <wps:cNvSpPr/>
                      <wps:spPr>
                        <a:xfrm>
                          <a:off x="0" y="0"/>
                          <a:ext cx="134620" cy="222250"/>
                        </a:xfrm>
                        <a:prstGeom prst="downArrow">
                          <a:avLst>
                            <a:gd name="adj1" fmla="val 50000"/>
                            <a:gd name="adj2" fmla="val 41273"/>
                          </a:avLst>
                        </a:prstGeom>
                        <a:solidFill>
                          <a:srgbClr val="FFFFFF"/>
                        </a:solidFill>
                        <a:ln w="9525" cap="flat" cmpd="sng">
                          <a:solidFill>
                            <a:srgbClr val="000000"/>
                          </a:solidFill>
                          <a:prstDash val="solid"/>
                          <a:miter/>
                          <a:headEnd type="none" w="med" len="med"/>
                          <a:tailEnd type="none" w="med" len="med"/>
                        </a:ln>
                      </wps:spPr>
                      <wps:bodyPr vert="eaVert" upright="1"/>
                    </wps:wsp>
                  </a:graphicData>
                </a:graphic>
              </wp:anchor>
            </w:drawing>
          </mc:Choice>
          <mc:Fallback>
            <w:pict>
              <v:shape id="_x0000_s1026" o:spid="_x0000_s1026" o:spt="67" type="#_x0000_t67" style="position:absolute;left:0pt;margin-left:217.7pt;margin-top:137.65pt;height:17.5pt;width:10.6pt;z-index:251675648;mso-width-relative:page;mso-height-relative:page;" fillcolor="#FFFFFF" filled="t" stroked="t" coordsize="21600,21600" o:gfxdata="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MKTQjdoAAAALAQAADwAAAAAAAAABACAAAAAiAAAAZHJzL2Rvd25yZXYueG1s&#10;UEsBAhQAFAAAAAgAh07iQL+PBLovAgAAhAQAAA4AAAAAAAAAAQAgAAAAKQEAAGRycy9lMm9Eb2Mu&#10;eG1sUEsFBgAAAAAGAAYAWQEAAMoFAAAAAA==&#10;" adj="16201,5400">
                <v:fill on="t" focussize="0,0"/>
                <v:stroke color="#000000" joinstyle="miter"/>
                <v:imagedata o:title=""/>
                <o:lock v:ext="edit" aspectratio="f"/>
                <v:textbox style="layout-flow:vertical-ideographic;"/>
              </v:shape>
            </w:pict>
          </mc:Fallback>
        </mc:AlternateContent>
      </w:r>
      <w:r>
        <w:rPr>
          <w:rFonts w:ascii="仿宋" w:hAnsi="仿宋" w:eastAsia="仿宋"/>
          <w:sz w:val="32"/>
          <w:szCs w:val="32"/>
        </w:rPr>
        <mc:AlternateContent>
          <mc:Choice Requires="wps">
            <w:drawing>
              <wp:anchor distT="0" distB="0" distL="114300" distR="114300" simplePos="0" relativeHeight="251670528" behindDoc="0" locked="0" layoutInCell="1" allowOverlap="1">
                <wp:simplePos x="0" y="0"/>
                <wp:positionH relativeFrom="column">
                  <wp:posOffset>1616075</wp:posOffset>
                </wp:positionH>
                <wp:positionV relativeFrom="paragraph">
                  <wp:posOffset>35560</wp:posOffset>
                </wp:positionV>
                <wp:extent cx="340995" cy="143510"/>
                <wp:effectExtent l="8255" t="16510" r="12700" b="30480"/>
                <wp:wrapNone/>
                <wp:docPr id="16" name="左箭头 16"/>
                <wp:cNvGraphicFramePr/>
                <a:graphic xmlns:a="http://schemas.openxmlformats.org/drawingml/2006/main">
                  <a:graphicData uri="http://schemas.microsoft.com/office/word/2010/wordprocessingShape">
                    <wps:wsp>
                      <wps:cNvSpPr/>
                      <wps:spPr>
                        <a:xfrm>
                          <a:off x="0" y="0"/>
                          <a:ext cx="340995" cy="143510"/>
                        </a:xfrm>
                        <a:prstGeom prst="leftArrow">
                          <a:avLst>
                            <a:gd name="adj1" fmla="val 50000"/>
                            <a:gd name="adj2" fmla="val 45190"/>
                          </a:avLst>
                        </a:prstGeom>
                        <a:solidFill>
                          <a:srgbClr val="FFFFFF"/>
                        </a:solidFill>
                        <a:ln w="12700" cap="flat" cmpd="sng">
                          <a:solidFill>
                            <a:srgbClr val="000000"/>
                          </a:solidFill>
                          <a:prstDash val="solid"/>
                          <a:miter/>
                          <a:headEnd type="none" w="med" len="med"/>
                          <a:tailEnd type="none" w="med" len="med"/>
                        </a:ln>
                      </wps:spPr>
                      <wps:txbx>
                        <w:txbxContent>
                          <w:p w14:paraId="53DF294A">
                            <w:pPr>
                              <w:jc w:val="center"/>
                            </w:pPr>
                          </w:p>
                        </w:txbxContent>
                      </wps:txbx>
                      <wps:bodyPr anchor="ctr" anchorCtr="0" upright="1"/>
                    </wps:wsp>
                  </a:graphicData>
                </a:graphic>
              </wp:anchor>
            </w:drawing>
          </mc:Choice>
          <mc:Fallback>
            <w:pict>
              <v:shape id="_x0000_s1026" o:spid="_x0000_s1026" o:spt="66" type="#_x0000_t66" style="position:absolute;left:0pt;margin-left:127.25pt;margin-top:2.8pt;height:11.3pt;width:26.85pt;z-index:251670528;v-text-anchor:middle;mso-width-relative:page;mso-height-relative:page;" fillcolor="#FFFFFF" filled="t" stroked="t" coordsize="21600,21600" o:gfxdata="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Ne0wNdcAAAAIAQAADwAAAAAAAAABACAAAAAiAAAAZHJzL2Rv&#10;d25yZXYueG1sUEsBAhQAFAAAAAgAh07iQJ3/Jjg7AgAAnwQAAA4AAAAAAAAAAQAgAAAAJgEAAGRy&#10;cy9lMm9Eb2MueG1sUEsFBgAAAAAGAAYAWQEAANMFAAAAAA==&#10;" adj="4107,5400">
                <v:fill on="t" focussize="0,0"/>
                <v:stroke weight="1pt" color="#000000" joinstyle="miter"/>
                <v:imagedata o:title=""/>
                <o:lock v:ext="edit" aspectratio="f"/>
                <v:textbox>
                  <w:txbxContent>
                    <w:p w14:paraId="53DF294A">
                      <w:pPr>
                        <w:jc w:val="center"/>
                      </w:pPr>
                    </w:p>
                  </w:txbxContent>
                </v:textbox>
              </v:shape>
            </w:pict>
          </mc:Fallback>
        </mc:AlternateContent>
      </w:r>
      <w:r>
        <w:rPr>
          <w:rFonts w:ascii="仿宋" w:hAnsi="仿宋" w:eastAsia="仿宋"/>
          <w:sz w:val="32"/>
          <w:szCs w:val="32"/>
        </w:rPr>
        <mc:AlternateContent>
          <mc:Choice Requires="wps">
            <w:drawing>
              <wp:anchor distT="0" distB="0" distL="114300" distR="114300" simplePos="0" relativeHeight="251672576" behindDoc="0" locked="0" layoutInCell="1" allowOverlap="1">
                <wp:simplePos x="0" y="0"/>
                <wp:positionH relativeFrom="column">
                  <wp:posOffset>3771900</wp:posOffset>
                </wp:positionH>
                <wp:positionV relativeFrom="paragraph">
                  <wp:posOffset>738505</wp:posOffset>
                </wp:positionV>
                <wp:extent cx="322580" cy="160655"/>
                <wp:effectExtent l="6350" t="17145" r="13970" b="31750"/>
                <wp:wrapNone/>
                <wp:docPr id="12" name="右箭头 12"/>
                <wp:cNvGraphicFramePr/>
                <a:graphic xmlns:a="http://schemas.openxmlformats.org/drawingml/2006/main">
                  <a:graphicData uri="http://schemas.microsoft.com/office/word/2010/wordprocessingShape">
                    <wps:wsp>
                      <wps:cNvSpPr/>
                      <wps:spPr>
                        <a:xfrm>
                          <a:off x="0" y="0"/>
                          <a:ext cx="322580" cy="160655"/>
                        </a:xfrm>
                        <a:prstGeom prst="rightArrow">
                          <a:avLst>
                            <a:gd name="adj1" fmla="val 50000"/>
                            <a:gd name="adj2" fmla="val 43755"/>
                          </a:avLst>
                        </a:prstGeom>
                        <a:solidFill>
                          <a:srgbClr val="FFFFFF"/>
                        </a:solidFill>
                        <a:ln w="12700" cap="flat" cmpd="sng">
                          <a:solidFill>
                            <a:srgbClr val="000000"/>
                          </a:solidFill>
                          <a:prstDash val="solid"/>
                          <a:miter/>
                          <a:headEnd type="none" w="med" len="med"/>
                          <a:tailEnd type="none" w="med" len="med"/>
                        </a:ln>
                      </wps:spPr>
                      <wps:txbx>
                        <w:txbxContent>
                          <w:p w14:paraId="53F60CCD">
                            <w:pPr>
                              <w:jc w:val="center"/>
                            </w:pPr>
                          </w:p>
                        </w:txbxContent>
                      </wps:txbx>
                      <wps:bodyPr anchor="ctr" anchorCtr="0" upright="1"/>
                    </wps:wsp>
                  </a:graphicData>
                </a:graphic>
              </wp:anchor>
            </w:drawing>
          </mc:Choice>
          <mc:Fallback>
            <w:pict>
              <v:shape id="_x0000_s1026" o:spid="_x0000_s1026" o:spt="13" type="#_x0000_t13" style="position:absolute;left:0pt;margin-left:297pt;margin-top:58.15pt;height:12.65pt;width:25.4pt;z-index:251672576;v-text-anchor:middle;mso-width-relative:page;mso-height-relative:page;" fillcolor="#FFFFFF" filled="t" stroked="t" coordsize="21600,21600" o:gfxdata="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ej98tkAAAALAQAADwAAAAAAAAABACAAAAAiAAAAZHJzL2Rv&#10;d25yZXYueG1sUEsBAhQAFAAAAAgAh07iQHwHb0g5AgAAoAQAAA4AAAAAAAAAAQAgAAAAKAEAAGRy&#10;cy9lMm9Eb2MueG1sUEsFBgAAAAAGAAYAWQEAANMFAAAAAA==&#10;" adj="16894,5400">
                <v:fill on="t" focussize="0,0"/>
                <v:stroke weight="1pt" color="#000000" joinstyle="miter"/>
                <v:imagedata o:title=""/>
                <o:lock v:ext="edit" aspectratio="f"/>
                <v:textbox>
                  <w:txbxContent>
                    <w:p w14:paraId="53F60CCD">
                      <w:pPr>
                        <w:jc w:val="center"/>
                      </w:pPr>
                    </w:p>
                  </w:txbxContent>
                </v:textbox>
              </v:shape>
            </w:pict>
          </mc:Fallback>
        </mc:AlternateContent>
      </w:r>
    </w:p>
    <w:p w14:paraId="354CAB87">
      <w:pPr>
        <w:ind w:firstLine="640" w:firstLineChars="200"/>
        <w:rPr>
          <w:rFonts w:ascii="仿宋" w:hAnsi="仿宋" w:eastAsia="仿宋"/>
          <w:sz w:val="32"/>
          <w:szCs w:val="32"/>
        </w:rPr>
      </w:pPr>
      <w:r>
        <w:rPr>
          <w:rFonts w:ascii="仿宋" w:hAnsi="仿宋" w:eastAsia="仿宋"/>
          <w:sz w:val="32"/>
          <w:szCs w:val="32"/>
        </w:rPr>
        <mc:AlternateContent>
          <mc:Choice Requires="wps">
            <w:drawing>
              <wp:anchor distT="0" distB="0" distL="114300" distR="114300" simplePos="0" relativeHeight="251669504" behindDoc="0" locked="0" layoutInCell="1" allowOverlap="1">
                <wp:simplePos x="0" y="0"/>
                <wp:positionH relativeFrom="column">
                  <wp:posOffset>4210685</wp:posOffset>
                </wp:positionH>
                <wp:positionV relativeFrom="paragraph">
                  <wp:posOffset>215265</wp:posOffset>
                </wp:positionV>
                <wp:extent cx="1428750" cy="695325"/>
                <wp:effectExtent l="6350" t="6350" r="12700" b="22225"/>
                <wp:wrapNone/>
                <wp:docPr id="13" name="矩形 13"/>
                <wp:cNvGraphicFramePr/>
                <a:graphic xmlns:a="http://schemas.openxmlformats.org/drawingml/2006/main">
                  <a:graphicData uri="http://schemas.microsoft.com/office/word/2010/wordprocessingShape">
                    <wps:wsp>
                      <wps:cNvSpPr/>
                      <wps:spPr>
                        <a:xfrm>
                          <a:off x="0" y="0"/>
                          <a:ext cx="1447800" cy="685800"/>
                        </a:xfrm>
                        <a:prstGeom prst="rect">
                          <a:avLst/>
                        </a:prstGeom>
                        <a:solidFill>
                          <a:srgbClr val="FFFFFF"/>
                        </a:solidFill>
                        <a:ln w="12700" cap="flat" cmpd="sng" algn="ctr">
                          <a:solidFill>
                            <a:srgbClr val="000000"/>
                          </a:solidFill>
                          <a:prstDash val="solid"/>
                          <a:miter lim="800000"/>
                        </a:ln>
                        <a:effectLst/>
                      </wps:spPr>
                      <wps:txbx>
                        <w:txbxContent>
                          <w:p w14:paraId="1D2EFA88">
                            <w:pPr>
                              <w:jc w:val="center"/>
                              <w:rPr>
                                <w:rFonts w:hint="default" w:eastAsiaTheme="minorEastAsia"/>
                                <w:lang w:val="en-US" w:eastAsia="zh-CN"/>
                              </w:rPr>
                            </w:pPr>
                            <w:r>
                              <w:rPr>
                                <w:rFonts w:hint="eastAsia"/>
                                <w:sz w:val="18"/>
                                <w:szCs w:val="18"/>
                                <w:lang w:val="en-US" w:eastAsia="zh-CN"/>
                              </w:rPr>
                              <w:t>国资中心按程序办理造价、评审、公告、招标、监理、合同签订上传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31.55pt;margin-top:16.95pt;height:54.75pt;width:112.5pt;z-index:251669504;v-text-anchor:middle;mso-width-relative:page;mso-height-relative:page;" fillcolor="#FFFFFF" filled="t" stroked="t" coordsize="21600,21600" o:gfxdata="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O0tf6DWAAAACgEAAA8AAAAAAAAAAQAgAAAAIgAAAGRy&#10;cy9kb3ducmV2LnhtbFBLAQIUABQAAAAIAIdO4kDiazmKeQIAAA8FAAAOAAAAAAAAAAEAIAAAACUB&#10;AABkcnMvZTJvRG9jLnhtbFBLBQYAAAAABgAGAFkBAAAQBgAAAAA=&#10;">
                <v:fill on="t" focussize="0,0"/>
                <v:stroke weight="1pt" color="#000000" miterlimit="8" joinstyle="miter"/>
                <v:imagedata o:title=""/>
                <o:lock v:ext="edit" aspectratio="f"/>
                <v:textbox>
                  <w:txbxContent>
                    <w:p w14:paraId="1D2EFA88">
                      <w:pPr>
                        <w:jc w:val="center"/>
                        <w:rPr>
                          <w:rFonts w:hint="default" w:eastAsiaTheme="minorEastAsia"/>
                          <w:lang w:val="en-US" w:eastAsia="zh-CN"/>
                        </w:rPr>
                      </w:pPr>
                      <w:r>
                        <w:rPr>
                          <w:rFonts w:hint="eastAsia"/>
                          <w:sz w:val="18"/>
                          <w:szCs w:val="18"/>
                          <w:lang w:val="en-US" w:eastAsia="zh-CN"/>
                        </w:rPr>
                        <w:t>国资中心按程序办理造价、评审、公告、招标、监理、合同签订上传</w:t>
                      </w:r>
                    </w:p>
                  </w:txbxContent>
                </v:textbox>
              </v:rect>
            </w:pict>
          </mc:Fallback>
        </mc:AlternateContent>
      </w:r>
      <w:r>
        <w:rPr>
          <w:rFonts w:ascii="仿宋" w:hAnsi="仿宋" w:eastAsia="仿宋"/>
          <w:sz w:val="32"/>
          <w:szCs w:val="32"/>
        </w:rPr>
        <mc:AlternateContent>
          <mc:Choice Requires="wps">
            <w:drawing>
              <wp:anchor distT="0" distB="0" distL="114300" distR="114300" simplePos="0" relativeHeight="251668480" behindDoc="0" locked="0" layoutInCell="1" allowOverlap="1">
                <wp:simplePos x="0" y="0"/>
                <wp:positionH relativeFrom="column">
                  <wp:posOffset>163830</wp:posOffset>
                </wp:positionH>
                <wp:positionV relativeFrom="paragraph">
                  <wp:posOffset>196850</wp:posOffset>
                </wp:positionV>
                <wp:extent cx="1355090" cy="501650"/>
                <wp:effectExtent l="6350" t="6350" r="10160" b="6350"/>
                <wp:wrapNone/>
                <wp:docPr id="17" name="矩形 17"/>
                <wp:cNvGraphicFramePr/>
                <a:graphic xmlns:a="http://schemas.openxmlformats.org/drawingml/2006/main">
                  <a:graphicData uri="http://schemas.microsoft.com/office/word/2010/wordprocessingShape">
                    <wps:wsp>
                      <wps:cNvSpPr/>
                      <wps:spPr>
                        <a:xfrm>
                          <a:off x="0" y="0"/>
                          <a:ext cx="1447800" cy="685800"/>
                        </a:xfrm>
                        <a:prstGeom prst="rect">
                          <a:avLst/>
                        </a:prstGeom>
                        <a:solidFill>
                          <a:srgbClr val="FFFFFF"/>
                        </a:solidFill>
                        <a:ln w="12700" cap="flat" cmpd="sng" algn="ctr">
                          <a:solidFill>
                            <a:srgbClr val="000000"/>
                          </a:solidFill>
                          <a:prstDash val="solid"/>
                          <a:miter lim="800000"/>
                        </a:ln>
                        <a:effectLst/>
                      </wps:spPr>
                      <wps:txbx>
                        <w:txbxContent>
                          <w:p w14:paraId="65C1B967">
                            <w:pPr>
                              <w:jc w:val="center"/>
                            </w:pPr>
                            <w:r>
                              <w:rPr>
                                <w:rFonts w:hint="eastAsia"/>
                              </w:rPr>
                              <w:t>资金管理（财务）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9pt;margin-top:15.5pt;height:39.5pt;width:106.7pt;z-index:251668480;v-text-anchor:middle;mso-width-relative:page;mso-height-relative:page;" fillcolor="#FFFFFF" filled="t" stroked="t" coordsize="21600,21600" o:gfxdata="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&#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Fcvz4jVAAAACQEAAA8AAAAAAAAAAQAgAAAAIgAAAGRy&#10;cy9kb3ducmV2LnhtbFBLAQIUABQAAAAIAIdO4kBz39FkegIAAA8FAAAOAAAAAAAAAAEAIAAAACQB&#10;AABkcnMvZTJvRG9jLnhtbFBLBQYAAAAABgAGAFkBAAAQBgAAAAA=&#10;">
                <v:fill on="t" focussize="0,0"/>
                <v:stroke weight="1pt" color="#000000" miterlimit="8" joinstyle="miter"/>
                <v:imagedata o:title=""/>
                <o:lock v:ext="edit" aspectratio="f"/>
                <v:textbox>
                  <w:txbxContent>
                    <w:p w14:paraId="65C1B967">
                      <w:pPr>
                        <w:jc w:val="center"/>
                      </w:pPr>
                      <w:r>
                        <w:rPr>
                          <w:rFonts w:hint="eastAsia"/>
                        </w:rPr>
                        <w:t>资金管理（财务）</w:t>
                      </w:r>
                    </w:p>
                  </w:txbxContent>
                </v:textbox>
              </v:rect>
            </w:pict>
          </mc:Fallback>
        </mc:AlternateContent>
      </w:r>
      <w:r>
        <w:rPr>
          <w:rFonts w:ascii="仿宋" w:hAnsi="仿宋" w:eastAsia="仿宋"/>
          <w:sz w:val="32"/>
          <w:szCs w:val="32"/>
        </w:rPr>
        <mc:AlternateContent>
          <mc:Choice Requires="wps">
            <w:drawing>
              <wp:anchor distT="0" distB="0" distL="114300" distR="114300" simplePos="0" relativeHeight="251671552" behindDoc="0" locked="0" layoutInCell="1" allowOverlap="1">
                <wp:simplePos x="0" y="0"/>
                <wp:positionH relativeFrom="column">
                  <wp:posOffset>1616075</wp:posOffset>
                </wp:positionH>
                <wp:positionV relativeFrom="paragraph">
                  <wp:posOffset>346075</wp:posOffset>
                </wp:positionV>
                <wp:extent cx="340995" cy="156845"/>
                <wp:effectExtent l="7620" t="20955" r="13335" b="31750"/>
                <wp:wrapNone/>
                <wp:docPr id="14" name="左箭头 14"/>
                <wp:cNvGraphicFramePr/>
                <a:graphic xmlns:a="http://schemas.openxmlformats.org/drawingml/2006/main">
                  <a:graphicData uri="http://schemas.microsoft.com/office/word/2010/wordprocessingShape">
                    <wps:wsp>
                      <wps:cNvSpPr/>
                      <wps:spPr>
                        <a:xfrm>
                          <a:off x="0" y="0"/>
                          <a:ext cx="340995" cy="156845"/>
                        </a:xfrm>
                        <a:prstGeom prst="leftArrow">
                          <a:avLst>
                            <a:gd name="adj1" fmla="val 50000"/>
                            <a:gd name="adj2" fmla="val 33658"/>
                          </a:avLst>
                        </a:prstGeom>
                        <a:solidFill>
                          <a:srgbClr val="FFFFFF"/>
                        </a:solidFill>
                        <a:ln w="12700" cap="flat" cmpd="sng">
                          <a:solidFill>
                            <a:srgbClr val="000000"/>
                          </a:solidFill>
                          <a:prstDash val="solid"/>
                          <a:miter/>
                          <a:headEnd type="none" w="med" len="med"/>
                          <a:tailEnd type="none" w="med" len="med"/>
                        </a:ln>
                      </wps:spPr>
                      <wps:txbx>
                        <w:txbxContent>
                          <w:p w14:paraId="7AA5D664">
                            <w:pPr>
                              <w:jc w:val="center"/>
                            </w:pPr>
                          </w:p>
                        </w:txbxContent>
                      </wps:txbx>
                      <wps:bodyPr anchor="ctr" anchorCtr="0" upright="1"/>
                    </wps:wsp>
                  </a:graphicData>
                </a:graphic>
              </wp:anchor>
            </w:drawing>
          </mc:Choice>
          <mc:Fallback>
            <w:pict>
              <v:shape id="_x0000_s1026" o:spid="_x0000_s1026" o:spt="66" type="#_x0000_t66" style="position:absolute;left:0pt;margin-left:127.25pt;margin-top:27.25pt;height:12.35pt;width:26.85pt;z-index:251671552;v-text-anchor:middle;mso-width-relative:page;mso-height-relative:page;" fillcolor="#FFFFFF" filled="t" stroked="t" coordsize="21600,21600" o:gfxdata="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e8Pz89cAAAAJAQAADwAAAAAAAAABACAAAAAiAAAAZHJzL2Rv&#10;d25yZXYueG1sUEsBAhQAFAAAAAgAh07iQNCkiso7AgAAnwQAAA4AAAAAAAAAAQAgAAAAJgEAAGRy&#10;cy9lMm9Eb2MueG1sUEsFBgAAAAAGAAYAWQEAANMFAAAAAA==&#10;" adj="3343,5400">
                <v:fill on="t" focussize="0,0"/>
                <v:stroke weight="1pt" color="#000000" joinstyle="miter"/>
                <v:imagedata o:title=""/>
                <o:lock v:ext="edit" aspectratio="f"/>
                <v:textbox>
                  <w:txbxContent>
                    <w:p w14:paraId="7AA5D664">
                      <w:pPr>
                        <w:jc w:val="center"/>
                      </w:pPr>
                    </w:p>
                  </w:txbxContent>
                </v:textbox>
              </v:shape>
            </w:pict>
          </mc:Fallback>
        </mc:AlternateContent>
      </w:r>
      <w:r>
        <w:rPr>
          <w:rFonts w:ascii="仿宋" w:hAnsi="仿宋" w:eastAsia="仿宋"/>
          <w:sz w:val="32"/>
          <w:szCs w:val="32"/>
        </w:rPr>
        <mc:AlternateContent>
          <mc:Choice Requires="wps">
            <w:drawing>
              <wp:anchor distT="0" distB="0" distL="114300" distR="114300" simplePos="0" relativeHeight="251663360" behindDoc="0" locked="0" layoutInCell="1" allowOverlap="1">
                <wp:simplePos x="0" y="0"/>
                <wp:positionH relativeFrom="column">
                  <wp:posOffset>2114550</wp:posOffset>
                </wp:positionH>
                <wp:positionV relativeFrom="paragraph">
                  <wp:posOffset>204470</wp:posOffset>
                </wp:positionV>
                <wp:extent cx="1537970" cy="436245"/>
                <wp:effectExtent l="6350" t="6350" r="17780" b="14605"/>
                <wp:wrapNone/>
                <wp:docPr id="15" name="矩形 15"/>
                <wp:cNvGraphicFramePr/>
                <a:graphic xmlns:a="http://schemas.openxmlformats.org/drawingml/2006/main">
                  <a:graphicData uri="http://schemas.microsoft.com/office/word/2010/wordprocessingShape">
                    <wps:wsp>
                      <wps:cNvSpPr/>
                      <wps:spPr>
                        <a:xfrm>
                          <a:off x="0" y="0"/>
                          <a:ext cx="1447800" cy="685800"/>
                        </a:xfrm>
                        <a:prstGeom prst="rect">
                          <a:avLst/>
                        </a:prstGeom>
                        <a:solidFill>
                          <a:srgbClr val="FFFFFF"/>
                        </a:solidFill>
                        <a:ln w="12700" cap="flat" cmpd="sng" algn="ctr">
                          <a:solidFill>
                            <a:srgbClr val="000000"/>
                          </a:solidFill>
                          <a:prstDash val="solid"/>
                          <a:miter lim="800000"/>
                        </a:ln>
                        <a:effectLst/>
                      </wps:spPr>
                      <wps:txbx>
                        <w:txbxContent>
                          <w:p w14:paraId="11463287">
                            <w:pPr>
                              <w:jc w:val="center"/>
                            </w:pPr>
                            <w:r>
                              <w:rPr>
                                <w:rFonts w:hint="eastAsia"/>
                              </w:rPr>
                              <w:t>项目实施（国资中心）</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6.5pt;margin-top:16.1pt;height:34.35pt;width:121.1pt;z-index:251663360;v-text-anchor:middle;mso-width-relative:page;mso-height-relative:page;" fillcolor="#FFFFFF" filled="t" stroked="t" coordsize="21600,21600" o:gfxdata="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bDz8J1wAAAAoBAAAPAAAAAAAAAAEAIAAAACIAAABk&#10;cnMvZG93bnJldi54bWxQSwECFAAUAAAACACHTuJAGwYd/nkCAAAPBQAADgAAAAAAAAABACAAAAAm&#10;AQAAZHJzL2Uyb0RvYy54bWxQSwUGAAAAAAYABgBZAQAAEQYAAAAA&#10;">
                <v:fill on="t" focussize="0,0"/>
                <v:stroke weight="1pt" color="#000000" miterlimit="8" joinstyle="miter"/>
                <v:imagedata o:title=""/>
                <o:lock v:ext="edit" aspectratio="f"/>
                <v:textbox>
                  <w:txbxContent>
                    <w:p w14:paraId="11463287">
                      <w:pPr>
                        <w:jc w:val="center"/>
                      </w:pPr>
                      <w:r>
                        <w:rPr>
                          <w:rFonts w:hint="eastAsia"/>
                        </w:rPr>
                        <w:t>项目实施（国资中心）</w:t>
                      </w:r>
                    </w:p>
                  </w:txbxContent>
                </v:textbox>
              </v:rect>
            </w:pict>
          </mc:Fallback>
        </mc:AlternateContent>
      </w:r>
    </w:p>
    <w:p w14:paraId="7B12E800">
      <w:pPr>
        <w:ind w:firstLine="640" w:firstLineChars="200"/>
        <w:rPr>
          <w:rFonts w:ascii="仿宋" w:hAnsi="仿宋" w:eastAsia="仿宋"/>
          <w:sz w:val="32"/>
          <w:szCs w:val="32"/>
        </w:rPr>
      </w:pPr>
      <w:r>
        <w:rPr>
          <w:rFonts w:ascii="仿宋" w:hAnsi="仿宋" w:eastAsia="仿宋"/>
          <w:sz w:val="32"/>
          <w:szCs w:val="32"/>
        </w:rPr>
        <mc:AlternateContent>
          <mc:Choice Requires="wps">
            <w:drawing>
              <wp:anchor distT="0" distB="0" distL="114300" distR="114300" simplePos="0" relativeHeight="251674624" behindDoc="0" locked="0" layoutInCell="1" allowOverlap="1">
                <wp:simplePos x="0" y="0"/>
                <wp:positionH relativeFrom="column">
                  <wp:posOffset>2764790</wp:posOffset>
                </wp:positionH>
                <wp:positionV relativeFrom="paragraph">
                  <wp:posOffset>244475</wp:posOffset>
                </wp:positionV>
                <wp:extent cx="134620" cy="222250"/>
                <wp:effectExtent l="13335" t="4445" r="23495" b="20955"/>
                <wp:wrapNone/>
                <wp:docPr id="18" name="下箭头 18"/>
                <wp:cNvGraphicFramePr/>
                <a:graphic xmlns:a="http://schemas.openxmlformats.org/drawingml/2006/main">
                  <a:graphicData uri="http://schemas.microsoft.com/office/word/2010/wordprocessingShape">
                    <wps:wsp>
                      <wps:cNvSpPr/>
                      <wps:spPr>
                        <a:xfrm>
                          <a:off x="0" y="0"/>
                          <a:ext cx="134620" cy="222250"/>
                        </a:xfrm>
                        <a:prstGeom prst="downArrow">
                          <a:avLst>
                            <a:gd name="adj1" fmla="val 50000"/>
                            <a:gd name="adj2" fmla="val 41273"/>
                          </a:avLst>
                        </a:prstGeom>
                        <a:solidFill>
                          <a:srgbClr val="FFFFFF"/>
                        </a:solidFill>
                        <a:ln w="9525" cap="flat" cmpd="sng">
                          <a:solidFill>
                            <a:srgbClr val="000000"/>
                          </a:solidFill>
                          <a:prstDash val="solid"/>
                          <a:miter/>
                          <a:headEnd type="none" w="med" len="med"/>
                          <a:tailEnd type="none" w="med" len="med"/>
                        </a:ln>
                      </wps:spPr>
                      <wps:bodyPr vert="eaVert" upright="1"/>
                    </wps:wsp>
                  </a:graphicData>
                </a:graphic>
              </wp:anchor>
            </w:drawing>
          </mc:Choice>
          <mc:Fallback>
            <w:pict>
              <v:shape id="_x0000_s1026" o:spid="_x0000_s1026" o:spt="67" type="#_x0000_t67" style="position:absolute;left:0pt;margin-left:217.7pt;margin-top:19.25pt;height:17.5pt;width:10.6pt;z-index:251674624;mso-width-relative:page;mso-height-relative:page;" fillcolor="#FFFFFF" filled="t" stroked="t" coordsize="21600,21600" o:gfxdata="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lAkG9gAAAAJAQAADwAAAAAAAAABACAAAAAiAAAAZHJzL2Rvd25yZXYueG1s&#10;UEsBAhQAFAAAAAgAh07iQJVwO/UxAgAAhgQAAA4AAAAAAAAAAQAgAAAAJwEAAGRycy9lMm9Eb2Mu&#10;eG1sUEsFBgAAAAAGAAYAWQEAAMoFAAAAAA==&#10;" adj="16201,5400">
                <v:fill on="t" focussize="0,0"/>
                <v:stroke color="#000000" joinstyle="miter"/>
                <v:imagedata o:title=""/>
                <o:lock v:ext="edit" aspectratio="f"/>
                <v:textbox style="layout-flow:vertical-ideographic;"/>
              </v:shape>
            </w:pict>
          </mc:Fallback>
        </mc:AlternateContent>
      </w:r>
    </w:p>
    <w:p w14:paraId="255A9EB9">
      <w:pPr>
        <w:ind w:firstLine="640" w:firstLineChars="200"/>
        <w:rPr>
          <w:rFonts w:ascii="仿宋" w:hAnsi="仿宋" w:eastAsia="仿宋"/>
          <w:sz w:val="32"/>
          <w:szCs w:val="32"/>
        </w:rPr>
      </w:pPr>
      <w:r>
        <w:rPr>
          <w:rFonts w:ascii="仿宋" w:hAnsi="仿宋" w:eastAsia="仿宋"/>
          <w:sz w:val="32"/>
          <w:szCs w:val="32"/>
        </w:rPr>
        <mc:AlternateContent>
          <mc:Choice Requires="wps">
            <w:drawing>
              <wp:anchor distT="0" distB="0" distL="114300" distR="114300" simplePos="0" relativeHeight="251661312" behindDoc="0" locked="0" layoutInCell="1" allowOverlap="1">
                <wp:simplePos x="0" y="0"/>
                <wp:positionH relativeFrom="column">
                  <wp:posOffset>2114550</wp:posOffset>
                </wp:positionH>
                <wp:positionV relativeFrom="paragraph">
                  <wp:posOffset>60960</wp:posOffset>
                </wp:positionV>
                <wp:extent cx="1537970" cy="492125"/>
                <wp:effectExtent l="6350" t="6350" r="17780" b="15875"/>
                <wp:wrapNone/>
                <wp:docPr id="11" name="矩形 11"/>
                <wp:cNvGraphicFramePr/>
                <a:graphic xmlns:a="http://schemas.openxmlformats.org/drawingml/2006/main">
                  <a:graphicData uri="http://schemas.microsoft.com/office/word/2010/wordprocessingShape">
                    <wps:wsp>
                      <wps:cNvSpPr/>
                      <wps:spPr>
                        <a:xfrm>
                          <a:off x="0" y="0"/>
                          <a:ext cx="1447800" cy="685800"/>
                        </a:xfrm>
                        <a:prstGeom prst="rect">
                          <a:avLst/>
                        </a:prstGeom>
                        <a:solidFill>
                          <a:srgbClr val="FFFFFF"/>
                        </a:solidFill>
                        <a:ln w="12700" cap="flat" cmpd="sng" algn="ctr">
                          <a:solidFill>
                            <a:srgbClr val="000000"/>
                          </a:solidFill>
                          <a:prstDash val="solid"/>
                          <a:miter lim="800000"/>
                        </a:ln>
                        <a:effectLst/>
                      </wps:spPr>
                      <wps:txbx>
                        <w:txbxContent>
                          <w:p w14:paraId="4FA3C2CD">
                            <w:r>
                              <w:rPr>
                                <w:rFonts w:hint="eastAsia"/>
                              </w:rPr>
                              <w:t xml:space="preserve">  项目验收、结算</w:t>
                            </w:r>
                          </w:p>
                          <w:p w14:paraId="36D380B6">
                            <w:r>
                              <w:rPr>
                                <w:rFonts w:hint="eastAsia"/>
                              </w:rPr>
                              <w:t>国资组织（验收小组）</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6.5pt;margin-top:4.8pt;height:38.75pt;width:121.1pt;z-index:251661312;v-text-anchor:middle;mso-width-relative:page;mso-height-relative:page;" fillcolor="#FFFFFF" filled="t" stroked="t" coordsize="21600,21600" o:gfxdata="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H9veB/XAAAACAEAAA8AAAAAAAAAAQAgAAAAIgAAAGRy&#10;cy9kb3ducmV2LnhtbFBLAQIUABQAAAAIAIdO4kCKsvUQeAIAAA8FAAAOAAAAAAAAAAEAIAAAACYB&#10;AABkcnMvZTJvRG9jLnhtbFBLBQYAAAAABgAGAFkBAAAQBgAAAAA=&#10;">
                <v:fill on="t" focussize="0,0"/>
                <v:stroke weight="1pt" color="#000000" miterlimit="8" joinstyle="miter"/>
                <v:imagedata o:title=""/>
                <o:lock v:ext="edit" aspectratio="f"/>
                <v:textbox>
                  <w:txbxContent>
                    <w:p w14:paraId="4FA3C2CD">
                      <w:r>
                        <w:rPr>
                          <w:rFonts w:hint="eastAsia"/>
                        </w:rPr>
                        <w:t xml:space="preserve">  项目验收、结算</w:t>
                      </w:r>
                    </w:p>
                    <w:p w14:paraId="36D380B6">
                      <w:r>
                        <w:rPr>
                          <w:rFonts w:hint="eastAsia"/>
                        </w:rPr>
                        <w:t>国资组织（验收小组）</w:t>
                      </w:r>
                    </w:p>
                  </w:txbxContent>
                </v:textbox>
              </v:rect>
            </w:pict>
          </mc:Fallback>
        </mc:AlternateContent>
      </w:r>
    </w:p>
    <w:p w14:paraId="2EEFCC34">
      <w:pPr>
        <w:ind w:firstLine="640" w:firstLineChars="200"/>
        <w:rPr>
          <w:rFonts w:ascii="仿宋" w:hAnsi="仿宋" w:eastAsia="仿宋"/>
          <w:sz w:val="32"/>
          <w:szCs w:val="32"/>
        </w:rPr>
      </w:pPr>
      <w:r>
        <w:rPr>
          <w:rFonts w:ascii="仿宋" w:hAnsi="仿宋" w:eastAsia="仿宋"/>
          <w:sz w:val="32"/>
          <w:szCs w:val="32"/>
        </w:rPr>
        <mc:AlternateContent>
          <mc:Choice Requires="wps">
            <w:drawing>
              <wp:anchor distT="0" distB="0" distL="114300" distR="114300" simplePos="0" relativeHeight="251662336" behindDoc="0" locked="0" layoutInCell="1" allowOverlap="1">
                <wp:simplePos x="0" y="0"/>
                <wp:positionH relativeFrom="column">
                  <wp:posOffset>2114550</wp:posOffset>
                </wp:positionH>
                <wp:positionV relativeFrom="paragraph">
                  <wp:posOffset>385445</wp:posOffset>
                </wp:positionV>
                <wp:extent cx="1537970" cy="428625"/>
                <wp:effectExtent l="6350" t="6350" r="17780" b="22225"/>
                <wp:wrapNone/>
                <wp:docPr id="10" name="矩形 10"/>
                <wp:cNvGraphicFramePr/>
                <a:graphic xmlns:a="http://schemas.openxmlformats.org/drawingml/2006/main">
                  <a:graphicData uri="http://schemas.microsoft.com/office/word/2010/wordprocessingShape">
                    <wps:wsp>
                      <wps:cNvSpPr/>
                      <wps:spPr>
                        <a:xfrm>
                          <a:off x="0" y="0"/>
                          <a:ext cx="1447800" cy="685800"/>
                        </a:xfrm>
                        <a:prstGeom prst="rect">
                          <a:avLst/>
                        </a:prstGeom>
                        <a:solidFill>
                          <a:srgbClr val="FFFFFF"/>
                        </a:solidFill>
                        <a:ln w="12700" cap="flat" cmpd="sng" algn="ctr">
                          <a:solidFill>
                            <a:srgbClr val="000000"/>
                          </a:solidFill>
                          <a:prstDash val="solid"/>
                          <a:miter lim="800000"/>
                        </a:ln>
                        <a:effectLst/>
                      </wps:spPr>
                      <wps:txbx>
                        <w:txbxContent>
                          <w:p w14:paraId="1A5ADA9B">
                            <w:pPr>
                              <w:jc w:val="center"/>
                            </w:pPr>
                            <w:r>
                              <w:rPr>
                                <w:rFonts w:hint="eastAsia"/>
                              </w:rPr>
                              <w:t>项目维护</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6.5pt;margin-top:30.35pt;height:33.75pt;width:121.1pt;z-index:251662336;v-text-anchor:middle;mso-width-relative:page;mso-height-relative:page;" fillcolor="#FFFFFF" filled="t" stroked="t" coordsize="21600,21600" o:gfxdata="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DR3Mhb2AAAAAoBAAAPAAAAAAAAAAEAIAAAACIAAABk&#10;cnMvZG93bnJldi54bWxQSwECFAAUAAAACACHTuJAPt6TXXgCAAAPBQAADgAAAAAAAAABACAAAAAn&#10;AQAAZHJzL2Uyb0RvYy54bWxQSwUGAAAAAAYABgBZAQAAEQYAAAAA&#10;">
                <v:fill on="t" focussize="0,0"/>
                <v:stroke weight="1pt" color="#000000" miterlimit="8" joinstyle="miter"/>
                <v:imagedata o:title=""/>
                <o:lock v:ext="edit" aspectratio="f"/>
                <v:textbox>
                  <w:txbxContent>
                    <w:p w14:paraId="1A5ADA9B">
                      <w:pPr>
                        <w:jc w:val="center"/>
                      </w:pPr>
                      <w:r>
                        <w:rPr>
                          <w:rFonts w:hint="eastAsia"/>
                        </w:rPr>
                        <w:t>项目维护</w:t>
                      </w:r>
                    </w:p>
                  </w:txbxContent>
                </v:textbox>
              </v:rect>
            </w:pict>
          </mc:Fallback>
        </mc:AlternateContent>
      </w:r>
    </w:p>
    <w:p w14:paraId="3F0F653C">
      <w:pPr>
        <w:tabs>
          <w:tab w:val="left" w:pos="5235"/>
        </w:tabs>
        <w:spacing w:line="560" w:lineRule="exact"/>
        <w:rPr>
          <w:rFonts w:ascii="楷体" w:hAnsi="楷体" w:eastAsia="楷体"/>
          <w:b/>
          <w:sz w:val="32"/>
          <w:szCs w:val="32"/>
        </w:rPr>
      </w:pPr>
      <w:r>
        <w:rPr>
          <w:rFonts w:hint="eastAsia" w:ascii="楷体" w:hAnsi="楷体" w:eastAsia="楷体"/>
          <w:b/>
          <w:sz w:val="32"/>
          <w:szCs w:val="32"/>
        </w:rPr>
        <w:t xml:space="preserve">  </w:t>
      </w:r>
    </w:p>
    <w:p w14:paraId="7D59770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 xml:space="preserve"> </w:t>
      </w:r>
      <w:r>
        <w:rPr>
          <w:rFonts w:hint="eastAsia" w:ascii="仿宋_GB2312" w:hAnsi="仿宋_GB2312" w:eastAsia="仿宋_GB2312" w:cs="仿宋_GB2312"/>
          <w:b/>
          <w:bCs w:val="0"/>
          <w:sz w:val="32"/>
          <w:szCs w:val="32"/>
        </w:rPr>
        <w:t>第三条</w:t>
      </w:r>
      <w:r>
        <w:rPr>
          <w:rFonts w:hint="eastAsia" w:ascii="仿宋_GB2312" w:hAnsi="仿宋_GB2312" w:eastAsia="仿宋_GB2312" w:cs="仿宋_GB2312"/>
          <w:b w:val="0"/>
          <w:bCs/>
          <w:sz w:val="32"/>
          <w:szCs w:val="32"/>
        </w:rPr>
        <w:t xml:space="preserve">  相关部门职责</w:t>
      </w:r>
    </w:p>
    <w:p w14:paraId="08455A8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（一）项目管理委员会是项目的主管部门，对项目从整体把握控制。</w:t>
      </w:r>
    </w:p>
    <w:p w14:paraId="7A430C1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1.项目管理委员会由</w:t>
      </w:r>
      <w:r>
        <w:rPr>
          <w:rFonts w:hint="eastAsia" w:ascii="仿宋_GB2312" w:hAnsi="仿宋_GB2312" w:eastAsia="仿宋_GB2312" w:cs="仿宋_GB2312"/>
          <w:sz w:val="32"/>
          <w:szCs w:val="32"/>
          <w:lang w:val="en-US" w:eastAsia="zh-CN"/>
        </w:rPr>
        <w:t>书记（</w:t>
      </w:r>
      <w:r>
        <w:rPr>
          <w:rFonts w:hint="eastAsia" w:ascii="仿宋_GB2312" w:hAnsi="仿宋_GB2312" w:eastAsia="仿宋_GB2312" w:cs="仿宋_GB2312"/>
          <w:sz w:val="32"/>
          <w:szCs w:val="32"/>
        </w:rPr>
        <w:t>院长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、主管财务副院长、主管副院级领导、财务处、</w:t>
      </w:r>
      <w:r>
        <w:rPr>
          <w:rFonts w:hint="eastAsia" w:ascii="仿宋_GB2312" w:hAnsi="仿宋_GB2312" w:eastAsia="仿宋_GB2312" w:cs="仿宋_GB2312"/>
          <w:sz w:val="32"/>
          <w:szCs w:val="32"/>
          <w:lang w:val="en-US" w:eastAsia="zh-CN"/>
        </w:rPr>
        <w:t>纪检部门、</w:t>
      </w:r>
      <w:r>
        <w:rPr>
          <w:rFonts w:hint="eastAsia" w:ascii="仿宋_GB2312" w:hAnsi="仿宋_GB2312" w:eastAsia="仿宋_GB2312" w:cs="仿宋_GB2312"/>
          <w:sz w:val="32"/>
          <w:szCs w:val="32"/>
        </w:rPr>
        <w:t>使用部门、国有资产管理中心相关</w:t>
      </w:r>
      <w:r>
        <w:rPr>
          <w:rFonts w:hint="eastAsia" w:ascii="仿宋_GB2312" w:hAnsi="仿宋_GB2312" w:eastAsia="仿宋_GB2312" w:cs="仿宋_GB2312"/>
          <w:sz w:val="32"/>
          <w:szCs w:val="32"/>
          <w:lang w:val="en-US" w:eastAsia="zh-CN"/>
        </w:rPr>
        <w:t>负责人</w:t>
      </w:r>
      <w:r>
        <w:rPr>
          <w:rFonts w:hint="eastAsia" w:ascii="仿宋_GB2312" w:hAnsi="仿宋_GB2312" w:eastAsia="仿宋_GB2312" w:cs="仿宋_GB2312"/>
          <w:sz w:val="32"/>
          <w:szCs w:val="32"/>
        </w:rPr>
        <w:t>组成。项目管理委员会下设办公室，办公室设在国有资产管理中心。</w:t>
      </w:r>
    </w:p>
    <w:p w14:paraId="7386CAB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2.参与项目的可行性论证和评估。</w:t>
      </w:r>
    </w:p>
    <w:p w14:paraId="509B785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3.受理项目申请，组织项目申报、项目设计评审、组织编制预算。</w:t>
      </w:r>
    </w:p>
    <w:p w14:paraId="3C8BB41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4.选择项目实施方式。</w:t>
      </w:r>
    </w:p>
    <w:p w14:paraId="7922DE7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5.监督质量、进度,审核项目变更。</w:t>
      </w:r>
    </w:p>
    <w:p w14:paraId="739A2AD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（二）国有资产管理中心是项目管理委员会领导下的项目具体执行部门，负责以下内容：</w:t>
      </w:r>
    </w:p>
    <w:p w14:paraId="5E08D0E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1.参与项目的可行性论证、询价、预算、评估、评审。</w:t>
      </w:r>
    </w:p>
    <w:p w14:paraId="485466E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2.受理项目申请，组织项目申报、办理项目评审等。</w:t>
      </w:r>
    </w:p>
    <w:p w14:paraId="7989FD6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3.按项目管理委员会要求及时、规范办理项目实施手续。</w:t>
      </w:r>
    </w:p>
    <w:p w14:paraId="01A1B4E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4.办理各类招标手续，按规范程序组织招标。</w:t>
      </w:r>
    </w:p>
    <w:p w14:paraId="45CC6ED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5.审核、签订合同，规范合同签订程序,组织、办理进场手续。</w:t>
      </w:r>
    </w:p>
    <w:p w14:paraId="5ECE092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6.组织项目的验收、结算。</w:t>
      </w:r>
    </w:p>
    <w:p w14:paraId="437621D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7.项目资料的收集、整理、保管、归档、移交。</w:t>
      </w:r>
    </w:p>
    <w:p w14:paraId="13F2CE7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8.项目管理的数据库建设。</w:t>
      </w:r>
    </w:p>
    <w:p w14:paraId="59EC44C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（三）使用部门是项目的最终使用、管理者，负责以下内容：</w:t>
      </w:r>
    </w:p>
    <w:p w14:paraId="4A243EB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1.提出项目申请。</w:t>
      </w:r>
      <w:r>
        <w:rPr>
          <w:rFonts w:hint="eastAsia" w:ascii="仿宋_GB2312" w:hAnsi="仿宋_GB2312" w:eastAsia="仿宋_GB2312" w:cs="仿宋_GB2312"/>
          <w:sz w:val="32"/>
          <w:szCs w:val="32"/>
          <w:lang w:val="en-US" w:eastAsia="zh-CN"/>
        </w:rPr>
        <w:t>项目论证后报</w:t>
      </w:r>
      <w:r>
        <w:rPr>
          <w:rFonts w:hint="eastAsia" w:ascii="仿宋_GB2312" w:hAnsi="仿宋_GB2312" w:eastAsia="仿宋_GB2312" w:cs="仿宋_GB2312"/>
          <w:sz w:val="32"/>
          <w:szCs w:val="32"/>
        </w:rPr>
        <w:t>党委会、院长办公会审批后五个工作日内将相关资料（会议纪要复印件、规格、数量等基本技术参数、要求）报国有资产管理中心备案，由国有资产管理中心组织专家论证和市场询价。</w:t>
      </w:r>
    </w:p>
    <w:p w14:paraId="7399921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2.参与项目设计、预算及合同审核。</w:t>
      </w:r>
    </w:p>
    <w:p w14:paraId="2814BA4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3.监督质量、进度、审核项目变更。</w:t>
      </w:r>
    </w:p>
    <w:p w14:paraId="398BAEC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4.参与项目的验收。</w:t>
      </w:r>
    </w:p>
    <w:p w14:paraId="038BF0A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5.项目验收合格后移交、接收。</w:t>
      </w:r>
    </w:p>
    <w:p w14:paraId="5B4026F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6.项目结算审计后办理请款各类手续。</w:t>
      </w:r>
    </w:p>
    <w:p w14:paraId="412351F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（四）财务处是项目的预算、审核、结算、付款部门，负责以下内容：</w:t>
      </w:r>
    </w:p>
    <w:p w14:paraId="014949B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1.参与项目的可研论证与评估。</w:t>
      </w:r>
    </w:p>
    <w:p w14:paraId="7C6A4AA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2.参与项目的预算、决算。</w:t>
      </w:r>
    </w:p>
    <w:p w14:paraId="669B849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3.编制项目预算计划。</w:t>
      </w:r>
    </w:p>
    <w:p w14:paraId="30B932A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4.审核项目合同。</w:t>
      </w:r>
    </w:p>
    <w:p w14:paraId="3D399A2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5.审核财务款项申请，安排付款计划，按时支付款项。</w:t>
      </w:r>
    </w:p>
    <w:p w14:paraId="0243B41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6.参与项目的验收工作。</w:t>
      </w:r>
    </w:p>
    <w:p w14:paraId="542EBC3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纪检监察部门是项目的监督管理部门。</w:t>
      </w:r>
    </w:p>
    <w:p w14:paraId="6F07902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1.全程监督项目的实施、落实。</w:t>
      </w:r>
    </w:p>
    <w:p w14:paraId="53A8874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2.预防项目落实过程中容易出现的违规违纪现象。</w:t>
      </w:r>
    </w:p>
    <w:p w14:paraId="564A27E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3.规范程序流程，并提出合理化建议，避免发生违规违纪现象发生。</w:t>
      </w:r>
    </w:p>
    <w:p w14:paraId="2BB9965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4.参与项目的验收工作。</w:t>
      </w:r>
    </w:p>
    <w:p w14:paraId="6644450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二、项目管理内容</w:t>
      </w:r>
    </w:p>
    <w:p w14:paraId="2130DB80">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val="0"/>
          <w:sz w:val="32"/>
          <w:szCs w:val="32"/>
        </w:rPr>
        <w:t>第四条</w:t>
      </w:r>
      <w:r>
        <w:rPr>
          <w:rFonts w:hint="eastAsia" w:ascii="仿宋_GB2312" w:hAnsi="仿宋_GB2312" w:eastAsia="仿宋_GB2312" w:cs="仿宋_GB2312"/>
          <w:b w:val="0"/>
          <w:bCs/>
          <w:sz w:val="32"/>
          <w:szCs w:val="32"/>
        </w:rPr>
        <w:t xml:space="preserve">  项目管理的适用范围</w:t>
      </w:r>
    </w:p>
    <w:p w14:paraId="4D43386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（一）学院各类开支中如采购、维修、建设、活动等，能够单独列项并能够独立进行核算的开支项目，适用本办法。</w:t>
      </w:r>
    </w:p>
    <w:p w14:paraId="56CA008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（二）预算在</w:t>
      </w:r>
      <w:r>
        <w:rPr>
          <w:rFonts w:hint="eastAsia" w:ascii="仿宋_GB2312" w:hAnsi="仿宋_GB2312" w:eastAsia="仿宋_GB2312" w:cs="仿宋_GB2312"/>
          <w:sz w:val="32"/>
          <w:szCs w:val="32"/>
          <w:lang w:val="en-US" w:eastAsia="zh-CN"/>
        </w:rPr>
        <w:t>1万元以下的项目,除必须从框架协议和网上商城采购外（如电脑、打印机等办公设备），使用部门可通过线上或线下的方式自行采购，并根据财务部门报销流程进行报销。</w:t>
      </w:r>
    </w:p>
    <w:p w14:paraId="7D8F3A2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（三）预算在</w:t>
      </w:r>
      <w:r>
        <w:rPr>
          <w:rFonts w:hint="eastAsia" w:ascii="仿宋_GB2312" w:hAnsi="仿宋_GB2312" w:eastAsia="仿宋_GB2312" w:cs="仿宋_GB2312"/>
          <w:sz w:val="32"/>
          <w:szCs w:val="32"/>
          <w:lang w:val="en-US" w:eastAsia="zh-CN"/>
        </w:rPr>
        <w:t>1-10</w:t>
      </w:r>
      <w:r>
        <w:rPr>
          <w:rFonts w:hint="eastAsia" w:ascii="仿宋_GB2312" w:hAnsi="仿宋_GB2312" w:eastAsia="仿宋_GB2312" w:cs="仿宋_GB2312"/>
          <w:sz w:val="32"/>
          <w:szCs w:val="32"/>
        </w:rPr>
        <w:t>万</w:t>
      </w:r>
      <w:r>
        <w:rPr>
          <w:rFonts w:hint="eastAsia" w:ascii="仿宋_GB2312" w:hAnsi="仿宋_GB2312" w:eastAsia="仿宋_GB2312" w:cs="仿宋_GB2312"/>
          <w:sz w:val="32"/>
          <w:szCs w:val="32"/>
          <w:lang w:val="en-US" w:eastAsia="zh-CN"/>
        </w:rPr>
        <w:t>元</w:t>
      </w:r>
      <w:r>
        <w:rPr>
          <w:rFonts w:hint="eastAsia" w:ascii="仿宋_GB2312" w:hAnsi="仿宋_GB2312" w:eastAsia="仿宋_GB2312" w:cs="仿宋_GB2312"/>
          <w:sz w:val="32"/>
          <w:szCs w:val="32"/>
        </w:rPr>
        <w:t>的项目</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包括</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万</w:t>
      </w:r>
      <w:r>
        <w:rPr>
          <w:rFonts w:hint="eastAsia" w:ascii="仿宋_GB2312" w:hAnsi="仿宋_GB2312" w:eastAsia="仿宋_GB2312" w:cs="仿宋_GB2312"/>
          <w:sz w:val="32"/>
          <w:szCs w:val="32"/>
          <w:lang w:val="en-US" w:eastAsia="zh-CN"/>
        </w:rPr>
        <w:t>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由使用部门提交申请，经学院领导审批后，</w:t>
      </w:r>
      <w:r>
        <w:rPr>
          <w:rFonts w:hint="eastAsia" w:ascii="仿宋_GB2312" w:hAnsi="仿宋_GB2312" w:eastAsia="仿宋_GB2312" w:cs="仿宋_GB2312"/>
          <w:sz w:val="32"/>
          <w:szCs w:val="32"/>
        </w:rPr>
        <w:t>由项目管理委员会及相关部门评定和选择实施方式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如三方询价、比选、框架协议采购、网上商城采购、单一来源采购等)。特殊情况，以最快捷的方式按程序实行</w:t>
      </w:r>
      <w:r>
        <w:rPr>
          <w:rFonts w:hint="eastAsia" w:ascii="仿宋_GB2312" w:hAnsi="仿宋_GB2312" w:eastAsia="仿宋_GB2312" w:cs="仿宋_GB2312"/>
          <w:sz w:val="32"/>
          <w:szCs w:val="32"/>
        </w:rPr>
        <w:t>。</w:t>
      </w:r>
    </w:p>
    <w:p w14:paraId="0A8CC77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预算10万元（包括10万元）以上未达到政府采购限额标准的项目，经学院党委会或院长办公会审批后，按政府采购程序组织校内招标，并在学院官网和招标平台上发布相关信息公告，具备单一来源条件的可执行单一来源采购。</w:t>
      </w:r>
    </w:p>
    <w:p w14:paraId="6D48EC1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（五）在政府网上商城和框架协议采购范围内的项目必须办理网上商城和框架协议采购手续，本着高效、节约的原则，严格按照冀财采【2024】12号文件执行。</w:t>
      </w:r>
    </w:p>
    <w:p w14:paraId="2BF7653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（六）达到政府采购限额标准的项目经学院党委审批后，必须履行政府采购手续，并在河北省政府采购网发布相关信息公告。</w:t>
      </w:r>
    </w:p>
    <w:p w14:paraId="6852198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三、项目组织实施</w:t>
      </w:r>
    </w:p>
    <w:p w14:paraId="29059E02">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val="0"/>
          <w:sz w:val="32"/>
          <w:szCs w:val="32"/>
        </w:rPr>
        <w:t>第五条</w:t>
      </w:r>
      <w:r>
        <w:rPr>
          <w:rFonts w:hint="eastAsia" w:ascii="仿宋_GB2312" w:hAnsi="仿宋_GB2312" w:eastAsia="仿宋_GB2312" w:cs="仿宋_GB2312"/>
          <w:b w:val="0"/>
          <w:bCs/>
          <w:sz w:val="32"/>
          <w:szCs w:val="32"/>
        </w:rPr>
        <w:t xml:space="preserve">  项目经学院审批立项后，申请部门需在五个工作日内将相关材料提交国有资产管理中心备案。</w:t>
      </w:r>
    </w:p>
    <w:p w14:paraId="08F4D09C">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 w:hAnsi="仿宋" w:eastAsia="仿宋"/>
          <w:sz w:val="32"/>
          <w:szCs w:val="32"/>
        </w:rPr>
      </w:pPr>
      <w:r>
        <w:rPr>
          <w:rFonts w:hint="eastAsia" w:ascii="仿宋_GB2312" w:hAnsi="仿宋_GB2312" w:eastAsia="仿宋_GB2312" w:cs="仿宋_GB2312"/>
          <w:b/>
          <w:bCs w:val="0"/>
          <w:sz w:val="32"/>
          <w:szCs w:val="32"/>
        </w:rPr>
        <w:t>第六条</w:t>
      </w:r>
      <w:r>
        <w:rPr>
          <w:rFonts w:hint="eastAsia" w:ascii="仿宋_GB2312" w:hAnsi="仿宋_GB2312" w:eastAsia="仿宋_GB2312" w:cs="仿宋_GB2312"/>
          <w:b w:val="0"/>
          <w:bCs/>
          <w:sz w:val="32"/>
          <w:szCs w:val="32"/>
        </w:rPr>
        <w:t xml:space="preserve">  国有资产管理中心在十个工作日内完成项目组织实施</w:t>
      </w:r>
      <w:r>
        <w:rPr>
          <w:rFonts w:hint="eastAsia" w:ascii="仿宋_GB2312" w:hAnsi="仿宋_GB2312" w:eastAsia="仿宋_GB2312" w:cs="仿宋_GB2312"/>
          <w:sz w:val="32"/>
          <w:szCs w:val="32"/>
        </w:rPr>
        <w:t>（政府采购项目按规范程序及时办理各类项目实施手续）。</w:t>
      </w:r>
    </w:p>
    <w:p w14:paraId="2D767534">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val="0"/>
          <w:sz w:val="32"/>
          <w:szCs w:val="32"/>
        </w:rPr>
        <w:t xml:space="preserve">第七条 </w:t>
      </w:r>
      <w:r>
        <w:rPr>
          <w:rFonts w:hint="eastAsia" w:ascii="仿宋_GB2312" w:hAnsi="仿宋_GB2312" w:eastAsia="仿宋_GB2312" w:cs="仿宋_GB2312"/>
          <w:b w:val="0"/>
          <w:bCs/>
          <w:sz w:val="32"/>
          <w:szCs w:val="32"/>
        </w:rPr>
        <w:t xml:space="preserve"> 使用部门、国有资产管理中心</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纪检监察部门全程参与项目组织实施过程。</w:t>
      </w:r>
    </w:p>
    <w:p w14:paraId="37D50368">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val="0"/>
          <w:sz w:val="32"/>
          <w:szCs w:val="32"/>
        </w:rPr>
        <w:t>第八条</w:t>
      </w:r>
      <w:r>
        <w:rPr>
          <w:rFonts w:hint="eastAsia" w:ascii="仿宋_GB2312" w:hAnsi="仿宋_GB2312" w:eastAsia="仿宋_GB2312" w:cs="仿宋_GB2312"/>
          <w:b w:val="0"/>
          <w:bCs/>
          <w:sz w:val="32"/>
          <w:szCs w:val="32"/>
        </w:rPr>
        <w:t xml:space="preserve">   质量控制</w:t>
      </w:r>
    </w:p>
    <w:p w14:paraId="65BE102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（一）项目组织实施后，使用部门、国有资产管理中心及纪检监察部门全程监督项目实施过程，遇有特殊情况或重大变更，及时上报项目管理委员会，避免项目出现较大偏差。</w:t>
      </w:r>
    </w:p>
    <w:p w14:paraId="379F5A6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（二）政府采购项目必须通过市财政局组织的财政评审后方可组织实施。</w:t>
      </w:r>
    </w:p>
    <w:p w14:paraId="3A37CEF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（三）项目组织实施必须严格按照审定预算、学院要求执行，质量认证材料要详细、准确。</w:t>
      </w:r>
    </w:p>
    <w:p w14:paraId="2D5DF3CA">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val="0"/>
          <w:sz w:val="32"/>
          <w:szCs w:val="32"/>
        </w:rPr>
        <w:t>第九条</w:t>
      </w:r>
      <w:r>
        <w:rPr>
          <w:rFonts w:hint="eastAsia" w:ascii="仿宋_GB2312" w:hAnsi="仿宋_GB2312" w:eastAsia="仿宋_GB2312" w:cs="仿宋_GB2312"/>
          <w:b w:val="0"/>
          <w:bCs/>
          <w:sz w:val="32"/>
          <w:szCs w:val="32"/>
        </w:rPr>
        <w:t xml:space="preserve">  合同签署</w:t>
      </w:r>
    </w:p>
    <w:p w14:paraId="0758178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sz w:val="32"/>
          <w:szCs w:val="32"/>
        </w:rPr>
        <w:t>（一）项目实行前必</w:t>
      </w:r>
      <w:r>
        <w:rPr>
          <w:rFonts w:hint="eastAsia" w:ascii="仿宋_GB2312" w:hAnsi="仿宋_GB2312" w:eastAsia="仿宋_GB2312" w:cs="仿宋_GB2312"/>
          <w:sz w:val="32"/>
          <w:szCs w:val="32"/>
        </w:rPr>
        <w:t>须按照《中华人民共和国合同法》规定的时间内及时签订采购合同（自主采购、校内招标项目一周内签订；政府采购项目一个月内签订）；如遇不可抗拒因素自动顺延。</w:t>
      </w:r>
    </w:p>
    <w:p w14:paraId="1C5046C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（二）政府采购项目必须在政府采购一体化信息平台备案。</w:t>
      </w:r>
    </w:p>
    <w:p w14:paraId="6625596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（三）合同签署必须按照《宣化科技职业学院经济合同管理办法》的要求，统一制式，统一编号，统一归档。政府采购项目有特别要求的按政府采购项目流程办理。</w:t>
      </w:r>
    </w:p>
    <w:p w14:paraId="7B086CF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四、项目完成验收、结算</w:t>
      </w:r>
    </w:p>
    <w:p w14:paraId="01F710EA">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val="0"/>
          <w:sz w:val="32"/>
          <w:szCs w:val="32"/>
        </w:rPr>
        <w:t>第十条</w:t>
      </w:r>
      <w:r>
        <w:rPr>
          <w:rFonts w:hint="eastAsia" w:ascii="仿宋_GB2312" w:hAnsi="仿宋_GB2312" w:eastAsia="仿宋_GB2312" w:cs="仿宋_GB2312"/>
          <w:b w:val="0"/>
          <w:bCs/>
          <w:sz w:val="32"/>
          <w:szCs w:val="32"/>
        </w:rPr>
        <w:t xml:space="preserve">  项目验收</w:t>
      </w:r>
    </w:p>
    <w:p w14:paraId="42DD84D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（一）国有资产管理中心是项目验收的主要管理部门，使用部门提交项目验收申请后，组织验收小组成员按照合同约定，对项目完成进度、质量进行履约验收，验收合格后签字确认。</w:t>
      </w:r>
    </w:p>
    <w:p w14:paraId="5EFB91C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（二）符合本办法第四条规定的采购项目，必须履行规范的采购手续，否则不予办理履约验收手续。</w:t>
      </w:r>
    </w:p>
    <w:p w14:paraId="4B3BE16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（三）项目验收要按照批准的可行性研究报告、项目计划、审批手续等资料进行项目完成后的验收和移交，验收工作重点检查以下内容。</w:t>
      </w:r>
    </w:p>
    <w:p w14:paraId="52F9BB1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1.项目须符合设计与合同约定的质量要求。</w:t>
      </w:r>
    </w:p>
    <w:p w14:paraId="47A4192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2.工程设计、施工和各类设备等物资采购必须按合同要求进行。</w:t>
      </w:r>
    </w:p>
    <w:p w14:paraId="0DC7A33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3.合同的签订、补充、变更、解除须按规定审批。</w:t>
      </w:r>
    </w:p>
    <w:p w14:paraId="0814607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4.变更要经济合理，并按规定程序审批，重大变更须按规定程序重新办理审批手续。</w:t>
      </w:r>
    </w:p>
    <w:p w14:paraId="2A44275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5.项目文件资料齐全、规范、准确，并按规定要求归档。</w:t>
      </w:r>
    </w:p>
    <w:p w14:paraId="16BD3D8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6.发现问题，在限期内督促尽快完成整改，早日复验，从而完成项目验收。</w:t>
      </w:r>
    </w:p>
    <w:p w14:paraId="352FFC1A">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val="0"/>
          <w:sz w:val="32"/>
          <w:szCs w:val="32"/>
        </w:rPr>
        <w:t>第十一条</w:t>
      </w:r>
      <w:r>
        <w:rPr>
          <w:rFonts w:hint="eastAsia" w:ascii="仿宋_GB2312" w:hAnsi="仿宋_GB2312" w:eastAsia="仿宋_GB2312" w:cs="仿宋_GB2312"/>
          <w:b w:val="0"/>
          <w:bCs/>
          <w:sz w:val="32"/>
          <w:szCs w:val="32"/>
        </w:rPr>
        <w:t xml:space="preserve">  项目的结算和审计</w:t>
      </w:r>
    </w:p>
    <w:p w14:paraId="629224B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完成验收后，国有资产管理中心及时整理相关资料，做出项目结算并提交项目管理委员会进行内部初审。根据项目管理委员会提出的意见及相关事实进行调整，确保项目结算能如实反映项目从建设到竣工的准确性、真实性。</w:t>
      </w:r>
    </w:p>
    <w:p w14:paraId="0D83725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（二）内部招标项目初审后，提交学院认定的第三方审计部门进行项目结算审计。</w:t>
      </w:r>
    </w:p>
    <w:p w14:paraId="139FE75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（三）政府采购项目内部初审后，提交政府指定的第三方审计部门进行项目结算审计。</w:t>
      </w:r>
    </w:p>
    <w:p w14:paraId="55C0CA1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（四）项目最终结算价以第三方审计部门审计结果为准。</w:t>
      </w:r>
    </w:p>
    <w:p w14:paraId="048E141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（五）财务处负责按照财务制度审核付款申请单及附件材料，按照付款申请安排付款计划，审批通过后，按照付款申请金额支付。对发生变更的项目，以经批准的变更文件为准。</w:t>
      </w:r>
    </w:p>
    <w:p w14:paraId="7266AFD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五、项目维护</w:t>
      </w:r>
    </w:p>
    <w:p w14:paraId="68CD584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项目完成验收、结算后，项目管理委员会对项目从立项、设计、施工、验收、结算等全过程进行评价、总结。从已完成的项目中积累经验，改进管理方法，减少不必要的损</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失，达到改善项目管理水平的目的。</w:t>
      </w:r>
    </w:p>
    <w:p w14:paraId="62456F2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六、本办法条款如有与国家及上级部门政策法规表述不一致的，按国家及上级部门规定执行。</w:t>
      </w:r>
    </w:p>
    <w:p w14:paraId="7F5B3C6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七、本办法从发布之日起执行。</w:t>
      </w:r>
    </w:p>
    <w:p w14:paraId="09E2ED4C">
      <w:pPr>
        <w:keepNext w:val="0"/>
        <w:keepLines w:val="0"/>
        <w:pageBreakBefore w:val="0"/>
        <w:widowControl/>
        <w:kinsoku/>
        <w:wordWrap/>
        <w:overflowPunct/>
        <w:topLinePunct w:val="0"/>
        <w:autoSpaceDE/>
        <w:autoSpaceDN/>
        <w:bidi w:val="0"/>
        <w:adjustRightInd/>
        <w:snapToGrid/>
        <w:spacing w:line="560" w:lineRule="exact"/>
        <w:ind w:left="0" w:firstLine="640" w:firstLineChars="200"/>
        <w:textAlignment w:val="auto"/>
        <w:rPr>
          <w:rFonts w:hint="default" w:ascii="仿宋_GB2312" w:hAnsi="仿宋_GB2312" w:eastAsia="仿宋_GB2312" w:cs="仿宋_GB2312"/>
          <w:kern w:val="0"/>
          <w:sz w:val="32"/>
          <w:szCs w:val="32"/>
          <w:shd w:val="clear" w:color="auto" w:fill="FFFFFF"/>
          <w:lang w:val="en-US" w:eastAsia="zh-CN"/>
        </w:rPr>
      </w:pPr>
    </w:p>
    <w:p w14:paraId="45FF5509">
      <w:pPr>
        <w:keepNext w:val="0"/>
        <w:keepLines w:val="0"/>
        <w:pageBreakBefore w:val="0"/>
        <w:widowControl/>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rPr>
        <w:t xml:space="preserve">    </w:t>
      </w:r>
      <w:r>
        <w:rPr>
          <w:rFonts w:hint="eastAsia" w:ascii="仿宋_GB2312" w:hAnsi="仿宋_GB2312" w:eastAsia="仿宋_GB2312" w:cs="仿宋_GB2312"/>
          <w:kern w:val="0"/>
          <w:sz w:val="32"/>
          <w:szCs w:val="32"/>
          <w:shd w:val="clear" w:color="auto" w:fill="FFFFFF"/>
          <w:lang w:val="en-US" w:eastAsia="zh-CN"/>
        </w:rPr>
        <w:t xml:space="preserve">                  </w:t>
      </w:r>
    </w:p>
    <w:p w14:paraId="587CE2C6">
      <w:pPr>
        <w:keepNext w:val="0"/>
        <w:keepLines w:val="0"/>
        <w:pageBreakBefore w:val="0"/>
        <w:widowControl/>
        <w:kinsoku/>
        <w:wordWrap/>
        <w:overflowPunct/>
        <w:topLinePunct w:val="0"/>
        <w:autoSpaceDE/>
        <w:autoSpaceDN/>
        <w:bidi w:val="0"/>
        <w:adjustRightInd/>
        <w:snapToGrid/>
        <w:spacing w:line="560" w:lineRule="exact"/>
        <w:ind w:left="0" w:firstLine="4160" w:firstLineChars="1300"/>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kern w:val="0"/>
          <w:sz w:val="32"/>
          <w:szCs w:val="32"/>
          <w:shd w:val="clear" w:color="auto" w:fill="FFFFFF"/>
          <w:lang w:val="en-US" w:eastAsia="zh-CN"/>
        </w:rPr>
        <w:t xml:space="preserve">      </w:t>
      </w:r>
      <w:r>
        <w:rPr>
          <w:rFonts w:hint="eastAsia" w:ascii="仿宋_GB2312" w:hAnsi="仿宋_GB2312" w:eastAsia="仿宋_GB2312" w:cs="仿宋_GB2312"/>
          <w:kern w:val="0"/>
          <w:sz w:val="32"/>
          <w:szCs w:val="32"/>
          <w:shd w:val="clear" w:color="auto" w:fill="FFFFFF"/>
        </w:rPr>
        <w:t xml:space="preserve"> 宣化科技职业学院</w:t>
      </w:r>
    </w:p>
    <w:p w14:paraId="79A114A8">
      <w:pPr>
        <w:keepNext w:val="0"/>
        <w:keepLines w:val="0"/>
        <w:pageBreakBefore w:val="0"/>
        <w:widowControl/>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s="仿宋_GB2312"/>
          <w:sz w:val="32"/>
          <w:szCs w:val="32"/>
          <w:shd w:val="clear" w:color="auto" w:fill="FFFFFF"/>
        </w:rPr>
      </w:pPr>
      <w:r>
        <w:rPr>
          <w:rFonts w:hint="eastAsia" w:ascii="仿宋_GB2312" w:hAnsi="仿宋_GB2312" w:eastAsia="仿宋_GB2312" w:cs="仿宋_GB2312"/>
          <w:kern w:val="0"/>
          <w:sz w:val="32"/>
          <w:szCs w:val="32"/>
          <w:shd w:val="clear" w:color="auto" w:fill="FFFFFF"/>
        </w:rPr>
        <w:t xml:space="preserve">                     　　  </w:t>
      </w:r>
      <w:r>
        <w:rPr>
          <w:rFonts w:hint="eastAsia" w:ascii="仿宋_GB2312" w:hAnsi="仿宋_GB2312" w:eastAsia="仿宋_GB2312" w:cs="仿宋_GB2312"/>
          <w:kern w:val="0"/>
          <w:sz w:val="32"/>
          <w:szCs w:val="32"/>
          <w:shd w:val="clear" w:color="auto" w:fill="FFFFFF"/>
          <w:lang w:val="en-US" w:eastAsia="zh-CN"/>
        </w:rPr>
        <w:t xml:space="preserve"> </w:t>
      </w:r>
      <w:r>
        <w:rPr>
          <w:rFonts w:hint="eastAsia" w:ascii="仿宋_GB2312" w:hAnsi="仿宋_GB2312" w:eastAsia="仿宋_GB2312" w:cs="仿宋_GB2312"/>
          <w:kern w:val="0"/>
          <w:sz w:val="32"/>
          <w:szCs w:val="32"/>
          <w:shd w:val="clear" w:color="auto" w:fill="FFFFFF"/>
        </w:rPr>
        <w:t xml:space="preserve">  202</w:t>
      </w:r>
      <w:r>
        <w:rPr>
          <w:rFonts w:hint="eastAsia" w:ascii="仿宋_GB2312" w:hAnsi="仿宋_GB2312" w:eastAsia="仿宋_GB2312" w:cs="仿宋_GB2312"/>
          <w:kern w:val="0"/>
          <w:sz w:val="32"/>
          <w:szCs w:val="32"/>
          <w:shd w:val="clear" w:color="auto" w:fill="FFFFFF"/>
          <w:lang w:val="en-US" w:eastAsia="zh-CN"/>
        </w:rPr>
        <w:t>6</w:t>
      </w:r>
      <w:r>
        <w:rPr>
          <w:rFonts w:hint="eastAsia" w:ascii="仿宋_GB2312" w:hAnsi="仿宋_GB2312" w:eastAsia="仿宋_GB2312" w:cs="仿宋_GB2312"/>
          <w:kern w:val="0"/>
          <w:sz w:val="32"/>
          <w:szCs w:val="32"/>
          <w:shd w:val="clear" w:color="auto" w:fill="FFFFFF"/>
        </w:rPr>
        <w:t>年</w:t>
      </w:r>
      <w:r>
        <w:rPr>
          <w:rFonts w:hint="eastAsia" w:ascii="仿宋_GB2312" w:hAnsi="仿宋_GB2312" w:eastAsia="仿宋_GB2312" w:cs="仿宋_GB2312"/>
          <w:kern w:val="0"/>
          <w:sz w:val="32"/>
          <w:szCs w:val="32"/>
          <w:shd w:val="clear" w:color="auto" w:fill="FFFFFF"/>
          <w:lang w:val="en-US" w:eastAsia="zh-CN"/>
        </w:rPr>
        <w:t>1</w:t>
      </w:r>
      <w:r>
        <w:rPr>
          <w:rFonts w:hint="eastAsia" w:ascii="仿宋_GB2312" w:hAnsi="仿宋_GB2312" w:eastAsia="仿宋_GB2312" w:cs="仿宋_GB2312"/>
          <w:kern w:val="0"/>
          <w:sz w:val="32"/>
          <w:szCs w:val="32"/>
          <w:shd w:val="clear" w:color="auto" w:fill="FFFFFF"/>
        </w:rPr>
        <w:t>月</w:t>
      </w:r>
      <w:r>
        <w:rPr>
          <w:rFonts w:hint="eastAsia" w:ascii="仿宋_GB2312" w:hAnsi="仿宋_GB2312" w:eastAsia="仿宋_GB2312" w:cs="仿宋_GB2312"/>
          <w:kern w:val="0"/>
          <w:sz w:val="32"/>
          <w:szCs w:val="32"/>
          <w:shd w:val="clear" w:color="auto" w:fill="FFFFFF"/>
          <w:lang w:val="en-US" w:eastAsia="zh-CN"/>
        </w:rPr>
        <w:t>1</w:t>
      </w:r>
      <w:r>
        <w:rPr>
          <w:rFonts w:hint="eastAsia" w:ascii="仿宋_GB2312" w:hAnsi="仿宋_GB2312" w:eastAsia="仿宋_GB2312" w:cs="仿宋_GB2312"/>
          <w:kern w:val="0"/>
          <w:sz w:val="32"/>
          <w:szCs w:val="32"/>
          <w:shd w:val="clear" w:color="auto" w:fill="FFFFFF"/>
        </w:rPr>
        <w:t>日</w:t>
      </w:r>
    </w:p>
    <w:p w14:paraId="56F12E31">
      <w:pPr>
        <w:rPr>
          <w:rFonts w:hint="eastAsia" w:ascii="仿宋_GB2312" w:eastAsia="仿宋_GB2312"/>
          <w:sz w:val="32"/>
          <w:u w:val="single"/>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1134" w:right="1247" w:bottom="1134"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小标宋简体">
    <w:altName w:val="方正舒体"/>
    <w:panose1 w:val="02010601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21D9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663ECC">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2663ECC">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A5D75">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272A5E62">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2F90E">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B1284">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59F1B">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E0587">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807317"/>
    <w:rsid w:val="00EA1F0A"/>
    <w:rsid w:val="04B17E6C"/>
    <w:rsid w:val="07807317"/>
    <w:rsid w:val="14600DB1"/>
    <w:rsid w:val="225954E7"/>
    <w:rsid w:val="261F21D6"/>
    <w:rsid w:val="2D093E09"/>
    <w:rsid w:val="2D152CDC"/>
    <w:rsid w:val="2D6055AE"/>
    <w:rsid w:val="3114597E"/>
    <w:rsid w:val="3AC707FD"/>
    <w:rsid w:val="3CBB2537"/>
    <w:rsid w:val="3F062D04"/>
    <w:rsid w:val="3FFF3A02"/>
    <w:rsid w:val="4E2F5C7A"/>
    <w:rsid w:val="4FB5428C"/>
    <w:rsid w:val="50D02840"/>
    <w:rsid w:val="51FB3520"/>
    <w:rsid w:val="54063F0A"/>
    <w:rsid w:val="5F0334B2"/>
    <w:rsid w:val="60814517"/>
    <w:rsid w:val="61A13392"/>
    <w:rsid w:val="66B16B25"/>
    <w:rsid w:val="67E133B5"/>
    <w:rsid w:val="72614BFB"/>
    <w:rsid w:val="7B3C3170"/>
    <w:rsid w:val="7B767758"/>
    <w:rsid w:val="7EAD33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2891</Words>
  <Characters>2944</Characters>
  <Lines>0</Lines>
  <Paragraphs>0</Paragraphs>
  <TotalTime>5</TotalTime>
  <ScaleCrop>false</ScaleCrop>
  <LinksUpToDate>false</LinksUpToDate>
  <CharactersWithSpaces>3042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2025-08-11T03:45:00Z</dcterms:created>
  <dc:creator>刘丽娜</dc:creator>
  <cp:lastModifiedBy>郭德富</cp:lastModifiedBy>
  <cp:lastPrinted>2026-04-02T07:59:00Z</cp:lastPrinted>
  <dcterms:modified xsi:type="dcterms:W3CDTF">2026-04-28T07:51:59Z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CADBC559438B497BA5C0782DF515CD87_11</vt:lpwstr>
  </property>
  <property fmtid="{D5CDD505-2E9C-101B-9397-08002B2CF9AE}" pid="4" name="KSOTemplateDocerSaveRecord">
    <vt:lpwstr>eyJoZGlkIjoiMzQ2MTIwMzNiODVhZGJkNmQ4ZWJiN2RlMWYwY2M4YjgiLCJ1c2VySWQiOiIyNzIxODk1MzQifQ==</vt:lpwstr>
  </property>
</Properties>
</file>